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FBI MINNEAPOLIS FIELD OFFICE TIP — EVAN BOSMA / NUTRITION EXCELLENCE LLC</w:t>
      </w:r>
    </w:p>
    <w:p>
      <w:pPr>
        <w:pStyle w:val="Heading1"/>
      </w:pPr>
      <w:r>
        <w:t>READY TO SEND VIA tips.fbimpls@fbi.gov OR SECURE ONLINE PORTAL</w:t>
      </w:r>
    </w:p>
    <w:p>
      <w:pPr>
        <w:jc w:val="both"/>
      </w:pPr>
      <w:r>
        <w:t>TO:      tips.fbimpls@fbi.gov</w:t>
      </w:r>
    </w:p>
    <w:p>
      <w:pPr>
        <w:jc w:val="both"/>
      </w:pPr>
      <w:r>
        <w:t>CC:      (leave empty on first send)</w:t>
      </w:r>
    </w:p>
    <w:p>
      <w:pPr>
        <w:jc w:val="both"/>
      </w:pPr>
      <w:r>
        <w:t>SUBJECT: Consumer Tip — Interstate Wire Fraud, Misbranded Food</w:t>
      </w:r>
    </w:p>
    <w:p>
      <w:pPr>
        <w:jc w:val="both"/>
      </w:pPr>
      <w:r>
        <w:t xml:space="preserve">         (THC/CBD Products), and Retaliatory Threats Against Federal</w:t>
      </w:r>
    </w:p>
    <w:p>
      <w:pPr>
        <w:jc w:val="both"/>
      </w:pPr>
      <w:r>
        <w:t xml:space="preserve">         Whistleblower — Nutrition Excellence LLC (Bloomington, MN) —</w:t>
      </w:r>
    </w:p>
    <w:p>
      <w:pPr>
        <w:jc w:val="both"/>
      </w:pPr>
      <w:r>
        <w:t xml:space="preserve">         Blaine PD Case 2618-0471 / FDA OCI Tip filed 2026-08-02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BODY (copy from "Reporting Party" to "End of FBI complaint.")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Reporting Party:  Anonymous former COO under verbal agreement of</w:t>
      </w:r>
    </w:p>
    <w:p>
      <w:pPr>
        <w:jc w:val="both"/>
      </w:pPr>
      <w:r>
        <w:t xml:space="preserve">                  Nutrition Excellence LLC</w:t>
      </w:r>
    </w:p>
    <w:p>
      <w:pPr>
        <w:jc w:val="both"/>
      </w:pPr>
      <w:r>
        <w:t>Date of Conduct:  December 2025 through August 2026</w:t>
      </w:r>
    </w:p>
    <w:p>
      <w:pPr>
        <w:jc w:val="both"/>
      </w:pPr>
      <w:r>
        <w:t>Date of Report:   2026-08-02</w:t>
      </w:r>
    </w:p>
    <w:p>
      <w:pPr>
        <w:jc w:val="both"/>
      </w:pPr>
      <w:r>
        <w:t>Federal Reference: FDA OCI consumer tip filed 2026-08-02</w:t>
      </w:r>
    </w:p>
    <w:p>
      <w:pPr>
        <w:jc w:val="both"/>
      </w:pPr>
      <w:r>
        <w:t>Local Reference:  Blaine Police Department Case 2618-0471</w:t>
      </w:r>
    </w:p>
    <w:p>
      <w:pPr>
        <w:jc w:val="both"/>
      </w:pPr>
      <w:r>
        <w:t xml:space="preserve">                  (death-threat and harassment report filed 2026-08-02)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1 — SUBJECT AND SCOPE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Business:        Nutrition Excellence LLC (Minnesota LLC)</w:t>
      </w:r>
    </w:p>
    <w:p>
      <w:pPr>
        <w:jc w:val="both"/>
      </w:pPr>
      <w:r>
        <w:t>d/b/a:           "Nutrition Elements" and "Moonshot Gummies"</w:t>
      </w:r>
    </w:p>
    <w:p>
      <w:pPr>
        <w:jc w:val="both"/>
      </w:pPr>
      <w:r>
        <w:t>Sole Member:     Evan Bosma</w:t>
      </w:r>
    </w:p>
    <w:p>
      <w:pPr>
        <w:jc w:val="both"/>
      </w:pPr>
      <w:r>
        <w:t>Address:         10740 Lyndale Avenue, Suite 11W</w:t>
      </w:r>
    </w:p>
    <w:p>
      <w:pPr>
        <w:jc w:val="both"/>
      </w:pPr>
      <w:r>
        <w:t xml:space="preserve">                  Bloomington, MN 55420</w:t>
      </w:r>
    </w:p>
    <w:p>
      <w:pPr>
        <w:jc w:val="both"/>
      </w:pPr>
      <w:r>
        <w:t>Products:        Flavored gummies and tinctures containing</w:t>
      </w:r>
    </w:p>
    <w:p>
      <w:pPr>
        <w:jc w:val="both"/>
      </w:pPr>
      <w:r>
        <w:t xml:space="preserve">                  hemp-derived tetrahydrocannabinol (THC) and</w:t>
      </w:r>
    </w:p>
    <w:p>
      <w:pPr>
        <w:jc w:val="both"/>
      </w:pPr>
      <w:r>
        <w:t xml:space="preserve">                  cannabidiol (CBD)</w:t>
      </w:r>
    </w:p>
    <w:p>
      <w:pPr>
        <w:jc w:val="both"/>
      </w:pPr>
      <w:r>
        <w:t>Distribution:    Retail stores in Minnesota and North Dakota</w:t>
      </w:r>
    </w:p>
    <w:p>
      <w:pPr>
        <w:jc w:val="both"/>
      </w:pPr>
      <w:r>
        <w:t>Manufacturing:   Subject's place of business, Bloomington, MN</w:t>
      </w:r>
    </w:p>
    <w:p>
      <w:pPr>
        <w:jc w:val="both"/>
      </w:pPr>
      <w:r>
        <w:t>ND Distributor:  Bergseth distribution network (North Dakota)</w:t>
      </w:r>
    </w:p>
    <w:p>
      <w:pPr>
        <w:jc w:val="both"/>
      </w:pPr>
      <w:r>
        <w:t>The reporting party served as Chief Operating Officer under a verbal</w:t>
      </w:r>
    </w:p>
    <w:p>
      <w:pPr>
        <w:jc w:val="both"/>
      </w:pPr>
      <w:r>
        <w:t>agreement during the period of employment described above and</w:t>
      </w:r>
    </w:p>
    <w:p>
      <w:pPr>
        <w:jc w:val="both"/>
      </w:pPr>
      <w:r>
        <w:t>accordingly has direct firsthand knowledge of the subject's</w:t>
      </w:r>
    </w:p>
    <w:p>
      <w:pPr>
        <w:jc w:val="both"/>
      </w:pPr>
      <w:r>
        <w:t>manufacturing operations, production records, labeling decisions,</w:t>
      </w:r>
    </w:p>
    <w:p>
      <w:pPr>
        <w:jc w:val="both"/>
      </w:pPr>
      <w:r>
        <w:t>batch documentation, and supply-chain practices.</w:t>
      </w:r>
    </w:p>
    <w:p>
      <w:pPr>
        <w:jc w:val="both"/>
      </w:pPr>
      <w:r>
        <w:t>The reporting party requests confidentiality from public disclosure</w:t>
      </w:r>
    </w:p>
    <w:p>
      <w:pPr>
        <w:jc w:val="both"/>
      </w:pPr>
      <w:r>
        <w:t>to the maximum extent permitted by law in order to protect the</w:t>
      </w:r>
    </w:p>
    <w:p>
      <w:pPr>
        <w:jc w:val="both"/>
      </w:pPr>
      <w:r>
        <w:t>reporting party from further retaliation. The reporting party has</w:t>
      </w:r>
    </w:p>
    <w:p>
      <w:pPr>
        <w:jc w:val="both"/>
      </w:pPr>
      <w:r>
        <w:t>received death threats from the subject's spouse within hours of</w:t>
      </w:r>
    </w:p>
    <w:p>
      <w:pPr>
        <w:jc w:val="both"/>
      </w:pPr>
      <w:r>
        <w:t>filing the parallel FDA OCI complaint and is in fear for physical</w:t>
      </w:r>
    </w:p>
    <w:p>
      <w:pPr>
        <w:jc w:val="both"/>
      </w:pPr>
      <w:r>
        <w:t>safety.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2 — STATUTORY FRAMEWORK — FEDERAL CRIMINAL JURISDICTION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The conduct described below implicates the following federal criminal</w:t>
      </w:r>
    </w:p>
    <w:p>
      <w:pPr>
        <w:jc w:val="both"/>
      </w:pPr>
      <w:r>
        <w:t>authorities enforced by the Federal Bureau of Investigation:</w:t>
      </w:r>
    </w:p>
    <w:p>
      <w:pPr>
        <w:jc w:val="both"/>
      </w:pPr>
      <w:r>
        <w:t>A. 18 U.S.C. § 1343 — Wire Fraud</w:t>
      </w:r>
    </w:p>
    <w:p>
      <w:pPr>
        <w:jc w:val="both"/>
      </w:pPr>
      <w:r>
        <w:t xml:space="preserve">   "Whoever, having devised or intending to devise any scheme or</w:t>
      </w:r>
    </w:p>
    <w:p>
      <w:pPr>
        <w:jc w:val="both"/>
      </w:pPr>
      <w:r>
        <w:t xml:space="preserve">   artifice to defraud, or for obtaining money or property by means</w:t>
      </w:r>
    </w:p>
    <w:p>
      <w:pPr>
        <w:jc w:val="both"/>
      </w:pPr>
      <w:r>
        <w:t xml:space="preserve">   of false or fraudulent pretenses, representations, or promises,</w:t>
      </w:r>
    </w:p>
    <w:p>
      <w:pPr>
        <w:jc w:val="both"/>
      </w:pPr>
      <w:r>
        <w:t xml:space="preserve">   transmits or causes to be transmitted by means of wire, radio,</w:t>
      </w:r>
    </w:p>
    <w:p>
      <w:pPr>
        <w:jc w:val="both"/>
      </w:pPr>
      <w:r>
        <w:t xml:space="preserve">   or television communication in interstate or foreign commerce,</w:t>
      </w:r>
    </w:p>
    <w:p>
      <w:pPr>
        <w:jc w:val="both"/>
      </w:pPr>
      <w:r>
        <w:t xml:space="preserve">   any writings, signs, signals, pictures, or sounds for the purpose</w:t>
      </w:r>
    </w:p>
    <w:p>
      <w:pPr>
        <w:jc w:val="both"/>
      </w:pPr>
      <w:r>
        <w:t xml:space="preserve">   of executing such scheme or artifice..."</w:t>
      </w:r>
    </w:p>
    <w:p>
      <w:pPr>
        <w:jc w:val="both"/>
      </w:pPr>
      <w:r>
        <w:t xml:space="preserve">   Maximum penalty: 20 years federal imprisonment, $250,000 fine,</w:t>
      </w:r>
    </w:p>
    <w:p>
      <w:pPr>
        <w:jc w:val="both"/>
      </w:pPr>
      <w:r>
        <w:t xml:space="preserve">   mandatory restitution per count.</w:t>
      </w:r>
    </w:p>
    <w:p>
      <w:pPr>
        <w:jc w:val="both"/>
      </w:pPr>
      <w:r>
        <w:t>B. 18 U.S.C. § 1349 — Conspiracy to Commit Wire Fraud</w:t>
      </w:r>
    </w:p>
    <w:p>
      <w:pPr>
        <w:jc w:val="both"/>
      </w:pPr>
      <w:r>
        <w:t xml:space="preserve">   Maximum penalty: Same as the underlying wire fraud offense</w:t>
      </w:r>
    </w:p>
    <w:p>
      <w:pPr>
        <w:jc w:val="both"/>
      </w:pPr>
      <w:r>
        <w:t xml:space="preserve">   (20 years federal imprisonment).</w:t>
      </w:r>
    </w:p>
    <w:p>
      <w:pPr>
        <w:jc w:val="both"/>
      </w:pPr>
      <w:r>
        <w:t>C. 18 U.S.C. § 1001 — False Statements</w:t>
      </w:r>
    </w:p>
    <w:p>
      <w:pPr>
        <w:jc w:val="both"/>
      </w:pPr>
      <w:r>
        <w:t xml:space="preserve">   Maximum penalty: 5 years federal imprisonment.</w:t>
      </w:r>
    </w:p>
    <w:p>
      <w:pPr>
        <w:jc w:val="both"/>
      </w:pPr>
      <w:r>
        <w:t>D. 47 U.S.C. § 223 — Interstate Threats by Telecommunications</w:t>
      </w:r>
    </w:p>
    <w:p>
      <w:pPr>
        <w:jc w:val="both"/>
      </w:pPr>
      <w:r>
        <w:t xml:space="preserve">   Maximum penalty: 2 years federal imprisonment.</w:t>
      </w:r>
    </w:p>
    <w:p>
      <w:pPr>
        <w:jc w:val="both"/>
      </w:pPr>
      <w:r>
        <w:t>E. 18 U.S.C. § 1956 — Money Laundering (potential)</w:t>
      </w:r>
    </w:p>
    <w:p>
      <w:pPr>
        <w:jc w:val="both"/>
      </w:pPr>
      <w:r>
        <w:t xml:space="preserve">   If proceeds of the fraud were transferred across state lines</w:t>
      </w:r>
    </w:p>
    <w:p>
      <w:pPr>
        <w:jc w:val="both"/>
      </w:pPr>
      <w:r>
        <w:t xml:space="preserve">   or through financial institutions with intent to conceal.</w:t>
      </w:r>
    </w:p>
    <w:p>
      <w:pPr>
        <w:jc w:val="both"/>
      </w:pPr>
      <w:r>
        <w:t>F. 21 U.S.C. § 331(a) and § 343 — Misbranded Food</w:t>
      </w:r>
    </w:p>
    <w:p>
      <w:pPr>
        <w:jc w:val="both"/>
      </w:pPr>
      <w:r>
        <w:t xml:space="preserve">   (Federal nexus established by interstate shipment.)</w:t>
      </w:r>
    </w:p>
    <w:p>
      <w:pPr>
        <w:jc w:val="both"/>
      </w:pPr>
      <w:r>
        <w:t>G. 21 U.S.C. § 342(a)(4) — Adulterated Food</w:t>
      </w:r>
    </w:p>
    <w:p>
      <w:pPr>
        <w:jc w:val="both"/>
      </w:pPr>
      <w:r>
        <w:t xml:space="preserve">   (Insanitary manufacturing conditions.)</w:t>
      </w:r>
    </w:p>
    <w:p>
      <w:pPr>
        <w:jc w:val="both"/>
      </w:pPr>
      <w:r>
        <w:t>INTERSTATE COMMERCE NEXUS:</w:t>
      </w:r>
    </w:p>
    <w:p>
      <w:pPr>
        <w:pStyle w:val="ListBullet"/>
      </w:pPr>
      <w:r>
        <w:t>Manufacturing occurred in Minnesota</w:t>
      </w:r>
    </w:p>
    <w:p>
      <w:pPr>
        <w:pStyle w:val="ListBullet"/>
      </w:pPr>
      <w:r>
        <w:t>Distribution occurred in North Dakota</w:t>
      </w:r>
    </w:p>
    <w:p>
      <w:pPr>
        <w:pStyle w:val="ListBullet"/>
      </w:pPr>
      <w:r>
        <w:t>Text messages, phone calls, and product shipments crossed state</w:t>
      </w:r>
    </w:p>
    <w:p>
      <w:pPr>
        <w:jc w:val="both"/>
      </w:pPr>
      <w:r>
        <w:t xml:space="preserve">  lines</w:t>
      </w:r>
    </w:p>
    <w:p>
      <w:pPr>
        <w:pStyle w:val="ListBullet"/>
      </w:pPr>
      <w:r>
        <w:t>Victims (ND retail consumers) are located in a different state</w:t>
      </w:r>
    </w:p>
    <w:p>
      <w:pPr>
        <w:jc w:val="both"/>
      </w:pPr>
      <w:r>
        <w:t xml:space="preserve">  from the manufacturing facility</w:t>
      </w:r>
    </w:p>
    <w:p>
      <w:pPr>
        <w:pStyle w:val="ListBullet"/>
      </w:pPr>
      <w:r>
        <w:t>Federal jurisdiction under 18 U.S.C. § 1343 and 21 U.S.C. § 331</w:t>
      </w:r>
    </w:p>
    <w:p>
      <w:pPr>
        <w:jc w:val="both"/>
      </w:pPr>
      <w:r>
        <w:t xml:space="preserve">  is established.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3 — ALLEGATION A-01: INTERSTATE WIRE FRAUD SCHEME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SUMMARY: The reporting party's former employer, Nutrition Excellence</w:t>
      </w:r>
    </w:p>
    <w:p>
      <w:pPr>
        <w:jc w:val="both"/>
      </w:pPr>
      <w:r>
        <w:t>LLC, manufactured gummies in Minnesota under the Minnesota adult-use</w:t>
      </w:r>
    </w:p>
    <w:p>
      <w:pPr>
        <w:jc w:val="both"/>
      </w:pPr>
      <w:r>
        <w:t>cannabis regulatory framework (containing 0 mg CBD per serving). The</w:t>
      </w:r>
    </w:p>
    <w:p>
      <w:pPr>
        <w:jc w:val="both"/>
      </w:pPr>
      <w:r>
        <w:t>reporting party observed this product being repackaged into bags</w:t>
      </w:r>
    </w:p>
    <w:p>
      <w:pPr>
        <w:jc w:val="both"/>
      </w:pPr>
      <w:r>
        <w:t>labeled for North Dakota retail distribution falsely claiming 75 mg</w:t>
      </w:r>
    </w:p>
    <w:p>
      <w:pPr>
        <w:jc w:val="both"/>
      </w:pPr>
      <w:r>
        <w:t>CBD per serving. Consumers in North Dakota paid premium prices for</w:t>
      </w:r>
    </w:p>
    <w:p>
      <w:pPr>
        <w:jc w:val="both"/>
      </w:pPr>
      <w:r>
        <w:t>product represented to them as containing cannabidiol (CBD) when,</w:t>
      </w:r>
    </w:p>
    <w:p>
      <w:pPr>
        <w:jc w:val="both"/>
      </w:pPr>
      <w:r>
        <w:t>according to batch production records retained by the reporting</w:t>
      </w:r>
    </w:p>
    <w:p>
      <w:pPr>
        <w:jc w:val="both"/>
      </w:pPr>
      <w:r>
        <w:t>party, the substituted product contained no active CBD ingredient.</w:t>
      </w:r>
    </w:p>
    <w:p>
      <w:pPr>
        <w:jc w:val="both"/>
      </w:pPr>
      <w:r>
        <w:t>ELEMENTS OF WIRE FRAUD:</w:t>
      </w:r>
    </w:p>
    <w:p>
      <w:pPr>
        <w:pStyle w:val="ListNumber"/>
      </w:pPr>
      <w:r>
        <w:t>SCHEME TO DEFRAUD:</w:t>
      </w:r>
    </w:p>
    <w:p>
      <w:pPr>
        <w:jc w:val="both"/>
      </w:pPr>
      <w:r>
        <w:t xml:space="preserve">   - Minnesota-formulated product tagged with 0 mg CBD concentration</w:t>
      </w:r>
    </w:p>
    <w:p>
      <w:pPr>
        <w:jc w:val="both"/>
      </w:pPr>
      <w:r>
        <w:t xml:space="preserve">     in batch records</w:t>
      </w:r>
    </w:p>
    <w:p>
      <w:pPr>
        <w:jc w:val="both"/>
      </w:pPr>
      <w:r>
        <w:t xml:space="preserve">   - Repackaging into North Dakota-branded bags labeled 75 mg CBD</w:t>
      </w:r>
    </w:p>
    <w:p>
      <w:pPr>
        <w:jc w:val="both"/>
      </w:pPr>
      <w:r>
        <w:t xml:space="preserve">     per serving</w:t>
      </w:r>
    </w:p>
    <w:p>
      <w:pPr>
        <w:jc w:val="both"/>
      </w:pPr>
      <w:r>
        <w:t xml:space="preserve">   - Distribution through Bergseth network to North Dakota retailers</w:t>
      </w:r>
    </w:p>
    <w:p>
      <w:pPr>
        <w:jc w:val="both"/>
      </w:pPr>
      <w:r>
        <w:t xml:space="preserve">   - Final sale to North Dakota retail consumers at premium prices</w:t>
      </w:r>
    </w:p>
    <w:p>
      <w:pPr>
        <w:jc w:val="both"/>
      </w:pPr>
      <w:r>
        <w:t xml:space="preserve">     reflecting the false CBD content claim</w:t>
      </w:r>
    </w:p>
    <w:p>
      <w:pPr>
        <w:pStyle w:val="ListNumber"/>
      </w:pPr>
      <w:r>
        <w:t>INTENT TO DEFRAUD:</w:t>
      </w:r>
    </w:p>
    <w:p>
      <w:pPr>
        <w:jc w:val="both"/>
      </w:pPr>
      <w:r>
        <w:t xml:space="preserve">   - Subject 1 (Evan Bosma) directed the repackaging in person</w:t>
      </w:r>
    </w:p>
    <w:p>
      <w:pPr>
        <w:jc w:val="both"/>
      </w:pPr>
      <w:r>
        <w:t xml:space="preserve">   - Subject 1 acknowledged the substitution in writing via SMS</w:t>
      </w:r>
    </w:p>
    <w:p>
      <w:pPr>
        <w:jc w:val="both"/>
      </w:pPr>
      <w:r>
        <w:t xml:space="preserve">   - The price differential between Minnesota-compliant product</w:t>
      </w:r>
    </w:p>
    <w:p>
      <w:pPr>
        <w:jc w:val="both"/>
      </w:pPr>
      <w:r>
        <w:t xml:space="preserve">     and North Dakota "CBD" product represents the consumer harm</w:t>
      </w:r>
    </w:p>
    <w:p>
      <w:pPr>
        <w:pStyle w:val="ListNumber"/>
      </w:pPr>
      <w:r>
        <w:t>MATERIAL MISREPRESENTATION:</w:t>
      </w:r>
    </w:p>
    <w:p>
      <w:pPr>
        <w:jc w:val="both"/>
      </w:pPr>
      <w:r>
        <w:t xml:space="preserve">   - Label claim: 75 mg CBD per serving</w:t>
      </w:r>
    </w:p>
    <w:p>
      <w:pPr>
        <w:jc w:val="both"/>
      </w:pPr>
      <w:r>
        <w:t xml:space="preserve">   - Actual content per batch records: 0 mg CBD per serving</w:t>
      </w:r>
    </w:p>
    <w:p>
      <w:pPr>
        <w:jc w:val="both"/>
      </w:pPr>
      <w:r>
        <w:t xml:space="preserve">   - This is a 100% misrepresentation of the labeled active</w:t>
      </w:r>
    </w:p>
    <w:p>
      <w:pPr>
        <w:jc w:val="both"/>
      </w:pPr>
      <w:r>
        <w:t xml:space="preserve">     ingredient</w:t>
      </w:r>
    </w:p>
    <w:p>
      <w:pPr>
        <w:pStyle w:val="ListNumber"/>
      </w:pPr>
      <w:r>
        <w:t>USE OF INTERSTATE WIRES:</w:t>
      </w:r>
    </w:p>
    <w:p>
      <w:pPr>
        <w:jc w:val="both"/>
      </w:pPr>
      <w:r>
        <w:t xml:space="preserve">   - Text messages between Evan Bosma (MN) and the reporting</w:t>
      </w:r>
    </w:p>
    <w:p>
      <w:pPr>
        <w:jc w:val="both"/>
      </w:pPr>
      <w:r>
        <w:t xml:space="preserve">     party discussing the substitution</w:t>
      </w:r>
    </w:p>
    <w:p>
      <w:pPr>
        <w:jc w:val="both"/>
      </w:pPr>
      <w:r>
        <w:t xml:space="preserve">   - Phone calls between Evan Bosma (MN) and Bergseth</w:t>
      </w:r>
    </w:p>
    <w:p>
      <w:pPr>
        <w:jc w:val="both"/>
      </w:pPr>
      <w:r>
        <w:t xml:space="preserve">     distribution (ND)</w:t>
      </w:r>
    </w:p>
    <w:p>
      <w:pPr>
        <w:jc w:val="both"/>
      </w:pPr>
      <w:r>
        <w:t xml:space="preserve">   - Email communications between Nutrition Excellence LLC (MN)</w:t>
      </w:r>
    </w:p>
    <w:p>
      <w:pPr>
        <w:jc w:val="both"/>
      </w:pPr>
      <w:r>
        <w:t xml:space="preserve">     and Bergseth (ND)</w:t>
      </w:r>
    </w:p>
    <w:p>
      <w:pPr>
        <w:jc w:val="both"/>
      </w:pPr>
      <w:r>
        <w:t xml:space="preserve">   - Wholesale purchase orders and invoices transmitted across</w:t>
      </w:r>
    </w:p>
    <w:p>
      <w:pPr>
        <w:jc w:val="both"/>
      </w:pPr>
      <w:r>
        <w:t xml:space="preserve">     state lines</w:t>
      </w:r>
    </w:p>
    <w:p>
      <w:pPr>
        <w:jc w:val="both"/>
      </w:pPr>
      <w:r>
        <w:t xml:space="preserve">   - Each transmission constitutes a separate use of interstate</w:t>
      </w:r>
    </w:p>
    <w:p>
      <w:pPr>
        <w:jc w:val="both"/>
      </w:pPr>
      <w:r>
        <w:t xml:space="preserve">     wires in execution of the scheme</w:t>
      </w:r>
    </w:p>
    <w:p>
      <w:pPr>
        <w:pStyle w:val="ListNumber"/>
      </w:pPr>
      <w:r>
        <w:t>VICTIM PECUNIARY LOSS:</w:t>
      </w:r>
    </w:p>
    <w:p>
      <w:pPr>
        <w:jc w:val="both"/>
      </w:pPr>
      <w:r>
        <w:t xml:space="preserve">   - North Dakota consumers paid premium price for "CBD" product</w:t>
      </w:r>
    </w:p>
    <w:p>
      <w:pPr>
        <w:jc w:val="both"/>
      </w:pPr>
      <w:r>
        <w:t xml:space="preserve">   - Premium price reflects the false CBD content claim</w:t>
      </w:r>
    </w:p>
    <w:p>
      <w:pPr>
        <w:jc w:val="both"/>
      </w:pPr>
      <w:r>
        <w:t xml:space="preserve">   - Consumers received product with no CBD, paid as if product</w:t>
      </w:r>
    </w:p>
    <w:p>
      <w:pPr>
        <w:jc w:val="both"/>
      </w:pPr>
      <w:r>
        <w:t xml:space="preserve">     contained CBD</w:t>
      </w:r>
    </w:p>
    <w:p>
      <w:pPr>
        <w:jc w:val="both"/>
      </w:pPr>
      <w:r>
        <w:t xml:space="preserve">   - Each consumer suffered pecuniary loss in the amount of the</w:t>
      </w:r>
    </w:p>
    <w:p>
      <w:pPr>
        <w:jc w:val="both"/>
      </w:pPr>
      <w:r>
        <w:t xml:space="preserve">     premium paid above the un-labeled price</w:t>
      </w:r>
    </w:p>
    <w:p>
      <w:pPr>
        <w:jc w:val="both"/>
      </w:pPr>
      <w:r>
        <w:t>EVIDENCE:</w:t>
      </w:r>
    </w:p>
    <w:p>
      <w:pPr>
        <w:pStyle w:val="ListBullet"/>
      </w:pPr>
      <w:r>
        <w:t>Batch production records retained from employment showing</w:t>
      </w:r>
    </w:p>
    <w:p>
      <w:pPr>
        <w:jc w:val="both"/>
      </w:pPr>
      <w:r>
        <w:t xml:space="preserve">  Minnesota-formulated product tagged with 0 mg CBD concentration</w:t>
      </w:r>
    </w:p>
    <w:p>
      <w:pPr>
        <w:pStyle w:val="ListBullet"/>
      </w:pPr>
      <w:r>
        <w:t>North Dakota packaging samples and packaging specification</w:t>
      </w:r>
    </w:p>
    <w:p>
      <w:pPr>
        <w:jc w:val="both"/>
      </w:pPr>
      <w:r>
        <w:t xml:space="preserve">  sheets declaring 75 mg CBD per serving</w:t>
      </w:r>
    </w:p>
    <w:p>
      <w:pPr>
        <w:pStyle w:val="ListBullet"/>
      </w:pPr>
      <w:r>
        <w:t>Photographs of Minnesota product being repackaged into North</w:t>
      </w:r>
    </w:p>
    <w:p>
      <w:pPr>
        <w:jc w:val="both"/>
      </w:pPr>
      <w:r>
        <w:t xml:space="preserve">  Dakota-branded bags</w:t>
      </w:r>
    </w:p>
    <w:p>
      <w:pPr>
        <w:pStyle w:val="ListBullet"/>
      </w:pPr>
      <w:r>
        <w:t>Contemporaneous text-message exchanges in which Subject 1</w:t>
      </w:r>
    </w:p>
    <w:p>
      <w:pPr>
        <w:jc w:val="both"/>
      </w:pPr>
      <w:r>
        <w:t xml:space="preserve">  directed the repackaging and acknowledged the substitution</w:t>
      </w:r>
    </w:p>
    <w:p>
      <w:pPr>
        <w:pStyle w:val="ListBullet"/>
      </w:pPr>
      <w:r>
        <w:t>Bergseth distribution records (available via subpoena)</w:t>
      </w:r>
    </w:p>
    <w:p>
      <w:pPr>
        <w:jc w:val="both"/>
      </w:pPr>
      <w:r>
        <w:t>STATUTORY VIOLATIONS:</w:t>
      </w:r>
    </w:p>
    <w:p>
      <w:pPr>
        <w:pStyle w:val="ListBullet"/>
      </w:pPr>
      <w:r>
        <w:t>18 U.S.C. § 1343 — Wire fraud (primary federal charge)</w:t>
      </w:r>
    </w:p>
    <w:p>
      <w:pPr>
        <w:pStyle w:val="ListBullet"/>
      </w:pPr>
      <w:r>
        <w:t>18 U.S.C. § 1349 — Conspiracy (if multiple parties involved)</w:t>
      </w:r>
    </w:p>
    <w:p>
      <w:pPr>
        <w:pStyle w:val="ListBullet"/>
      </w:pPr>
      <w:r>
        <w:t>21 U.S.C. § 331(a) — Prohibited act: introduction of misbranded</w:t>
      </w:r>
    </w:p>
    <w:p>
      <w:pPr>
        <w:jc w:val="both"/>
      </w:pPr>
      <w:r>
        <w:t xml:space="preserve">  food into interstate commerce</w:t>
      </w:r>
    </w:p>
    <w:p>
      <w:pPr>
        <w:pStyle w:val="ListBullet"/>
      </w:pPr>
      <w:r>
        <w:t>21 U.S.C. § 343(a) — Misbranded: label falsely claims 75 mg CBD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4 — ALLEGATION A-02: CERTIFICATE OF ANALYSIS (COA) FRAUD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SUMMARY: Certificates of Analysis — the primary regulatory</w:t>
      </w:r>
    </w:p>
    <w:p>
      <w:pPr>
        <w:jc w:val="both"/>
      </w:pPr>
      <w:r>
        <w:t>compliance documents that retailers, regulators, and consumers</w:t>
      </w:r>
    </w:p>
    <w:p>
      <w:pPr>
        <w:jc w:val="both"/>
      </w:pPr>
      <w:r>
        <w:t>rely upon to verify product safety and content — were</w:t>
      </w:r>
    </w:p>
    <w:p>
      <w:pPr>
        <w:jc w:val="both"/>
      </w:pPr>
      <w:r>
        <w:t>systematically falsified, duplicated, or omitted across multiple</w:t>
      </w:r>
    </w:p>
    <w:p>
      <w:pPr>
        <w:jc w:val="both"/>
      </w:pPr>
      <w:r>
        <w:t>production lots during the reporting party's employment.</w:t>
      </w:r>
    </w:p>
    <w:p>
      <w:pPr>
        <w:jc w:val="both"/>
      </w:pPr>
      <w:r>
        <w:t>OBSERVED IRREGULARITIES:</w:t>
      </w:r>
    </w:p>
    <w:p>
      <w:pPr>
        <w:jc w:val="both"/>
      </w:pPr>
      <w:r>
        <w:t>(a) OUTDATED COAs REUSED: A COA from an earlier batch was</w:t>
      </w:r>
    </w:p>
    <w:p>
      <w:pPr>
        <w:jc w:val="both"/>
      </w:pPr>
      <w:r>
        <w:t xml:space="preserve">    retained and reused as the certificate for a different, more</w:t>
      </w:r>
    </w:p>
    <w:p>
      <w:pPr>
        <w:jc w:val="both"/>
      </w:pPr>
      <w:r>
        <w:t xml:space="preserve">    recent batch that had not been tested.</w:t>
      </w:r>
    </w:p>
    <w:p>
      <w:pPr>
        <w:jc w:val="both"/>
      </w:pPr>
      <w:r>
        <w:t>(b) DUPLICATE COA ASSIGNMENT: The same COA document appeared in</w:t>
      </w:r>
    </w:p>
    <w:p>
      <w:pPr>
        <w:jc w:val="both"/>
      </w:pPr>
      <w:r>
        <w:t xml:space="preserve">    two product lines with only the product name altered.</w:t>
      </w:r>
    </w:p>
    <w:p>
      <w:pPr>
        <w:jc w:val="both"/>
      </w:pPr>
      <w:r>
        <w:t>(c) ALTERED COA RESULTS: Numerical results in the COAs did not</w:t>
      </w:r>
    </w:p>
    <w:p>
      <w:pPr>
        <w:jc w:val="both"/>
      </w:pPr>
      <w:r>
        <w:t xml:space="preserve">    match the underlying third-party laboratory reports. Results</w:t>
      </w:r>
    </w:p>
    <w:p>
      <w:pPr>
        <w:jc w:val="both"/>
      </w:pPr>
      <w:r>
        <w:t xml:space="preserve">    were adjusted to show "passing" values.</w:t>
      </w:r>
    </w:p>
    <w:p>
      <w:pPr>
        <w:jc w:val="both"/>
      </w:pPr>
      <w:r>
        <w:t>(d) MISSING COAs: Multiple lots reached retail shelves without</w:t>
      </w:r>
    </w:p>
    <w:p>
      <w:pPr>
        <w:jc w:val="both"/>
      </w:pPr>
      <w:r>
        <w:t xml:space="preserve">    any certificate of analysis on file.</w:t>
      </w:r>
    </w:p>
    <w:p>
      <w:pPr>
        <w:jc w:val="both"/>
      </w:pPr>
      <w:r>
        <w:t>EVIDENCE:</w:t>
      </w:r>
    </w:p>
    <w:p>
      <w:pPr>
        <w:pStyle w:val="ListBullet"/>
      </w:pPr>
      <w:r>
        <w:t>Side-by-side comparison of COA documents showing duplicate lot</w:t>
      </w:r>
    </w:p>
    <w:p>
      <w:pPr>
        <w:jc w:val="both"/>
      </w:pPr>
      <w:r>
        <w:t xml:space="preserve">  numbers across different products</w:t>
      </w:r>
    </w:p>
    <w:p>
      <w:pPr>
        <w:pStyle w:val="ListBullet"/>
      </w:pPr>
      <w:r>
        <w:t>Original third-party laboratory reports showing actual test</w:t>
      </w:r>
    </w:p>
    <w:p>
      <w:pPr>
        <w:jc w:val="both"/>
      </w:pPr>
      <w:r>
        <w:t xml:space="preserve">  results, contrasted with the altered COAs distributed to</w:t>
      </w:r>
    </w:p>
    <w:p>
      <w:pPr>
        <w:jc w:val="both"/>
      </w:pPr>
      <w:r>
        <w:t xml:space="preserve">  retailers</w:t>
      </w:r>
    </w:p>
    <w:p>
      <w:pPr>
        <w:pStyle w:val="ListBullet"/>
      </w:pPr>
      <w:r>
        <w:t>Production records showing lot numbers with no corresponding</w:t>
      </w:r>
    </w:p>
    <w:p>
      <w:pPr>
        <w:jc w:val="both"/>
      </w:pPr>
      <w:r>
        <w:t xml:space="preserve">  COA on file</w:t>
      </w:r>
    </w:p>
    <w:p>
      <w:pPr>
        <w:jc w:val="both"/>
      </w:pPr>
      <w:r>
        <w:t>STATUTORY VIOLATIONS:</w:t>
      </w:r>
    </w:p>
    <w:p>
      <w:pPr>
        <w:pStyle w:val="ListBullet"/>
      </w:pPr>
      <w:r>
        <w:t>21 U.S.C. § 1001 — False statements in matters within federal</w:t>
      </w:r>
    </w:p>
    <w:p>
      <w:pPr>
        <w:jc w:val="both"/>
      </w:pPr>
      <w:r>
        <w:t xml:space="preserve">  jurisdiction (FDA-regulated products)</w:t>
      </w:r>
    </w:p>
    <w:p>
      <w:pPr>
        <w:pStyle w:val="ListBullet"/>
      </w:pPr>
      <w:r>
        <w:t>21 C.F.R. Part 111 — CGMP for Dietary Supplements</w:t>
      </w:r>
    </w:p>
    <w:p>
      <w:pPr>
        <w:pStyle w:val="ListBullet"/>
      </w:pPr>
      <w:r>
        <w:t>21 C.F.R. Part 117 — CGMP for Human Food</w:t>
      </w:r>
    </w:p>
    <w:p>
      <w:pPr>
        <w:jc w:val="both"/>
      </w:pPr>
      <w:r>
        <w:t>HEALTH IMPACT: COAs are the primary safeguard preventing</w:t>
      </w:r>
    </w:p>
    <w:p>
      <w:pPr>
        <w:jc w:val="both"/>
      </w:pPr>
      <w:r>
        <w:t>contaminated or mislabeled product from reaching consumers. The</w:t>
      </w:r>
    </w:p>
    <w:p>
      <w:pPr>
        <w:jc w:val="both"/>
      </w:pPr>
      <w:r>
        <w:t>systematic falsification of COAs removes that safeguard entirely.</w:t>
      </w:r>
    </w:p>
    <w:p>
      <w:pPr>
        <w:jc w:val="both"/>
      </w:pPr>
      <w:r>
        <w:t>Consumers have no way to independently verify the safety or</w:t>
      </w:r>
    </w:p>
    <w:p>
      <w:pPr>
        <w:jc w:val="both"/>
      </w:pPr>
      <w:r>
        <w:t>content of products they ingest.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5 — ALLEGATION A-03: INSANITARY MANUFACTURING CONDITIONS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SUMMARY: Edible consumer products labeled as dietary supplements</w:t>
      </w:r>
    </w:p>
    <w:p>
      <w:pPr>
        <w:jc w:val="both"/>
      </w:pPr>
      <w:r>
        <w:t>and containing controlled substances (THC/CBD) were hand-packaged</w:t>
      </w:r>
    </w:p>
    <w:p>
      <w:pPr>
        <w:jc w:val="both"/>
      </w:pPr>
      <w:r>
        <w:t>and heat-sealed at the subject's place of business. The workspace</w:t>
      </w:r>
    </w:p>
    <w:p>
      <w:pPr>
        <w:jc w:val="both"/>
      </w:pPr>
      <w:r>
        <w:t>is a commercial office suite that does not meet minimum federal</w:t>
      </w:r>
    </w:p>
    <w:p>
      <w:pPr>
        <w:jc w:val="both"/>
      </w:pPr>
      <w:r>
        <w:t>sanitation requirements for food or dietary supplement</w:t>
      </w:r>
    </w:p>
    <w:p>
      <w:pPr>
        <w:jc w:val="both"/>
      </w:pPr>
      <w:r>
        <w:t>manufacturing.</w:t>
      </w:r>
    </w:p>
    <w:p>
      <w:pPr>
        <w:jc w:val="both"/>
      </w:pPr>
      <w:r>
        <w:t>OBSERVED CONDITIONS:</w:t>
      </w:r>
    </w:p>
    <w:p>
      <w:pPr>
        <w:pStyle w:val="ListBullet"/>
      </w:pPr>
      <w:r>
        <w:t>No utility sink for hand washing</w:t>
      </w:r>
    </w:p>
    <w:p>
      <w:pPr>
        <w:pStyle w:val="ListBullet"/>
      </w:pPr>
      <w:r>
        <w:t>No dedicated hand-washing station with soap or sanitizer</w:t>
      </w:r>
    </w:p>
    <w:p>
      <w:pPr>
        <w:pStyle w:val="ListBullet"/>
      </w:pPr>
      <w:r>
        <w:t>No gloves worn by personnel during packing</w:t>
      </w:r>
    </w:p>
    <w:p>
      <w:pPr>
        <w:pStyle w:val="ListBullet"/>
      </w:pPr>
      <w:r>
        <w:t>No hair or beard coverings worn by personnel</w:t>
      </w:r>
    </w:p>
    <w:p>
      <w:pPr>
        <w:pStyle w:val="ListBullet"/>
      </w:pPr>
      <w:r>
        <w:t>No food-grade work surfaces (packing performed on standard</w:t>
      </w:r>
    </w:p>
    <w:p>
      <w:pPr>
        <w:jc w:val="both"/>
      </w:pPr>
      <w:r>
        <w:t xml:space="preserve">  office furniture)</w:t>
      </w:r>
    </w:p>
    <w:p>
      <w:pPr>
        <w:pStyle w:val="ListBullet"/>
      </w:pPr>
      <w:r>
        <w:t>No documented sanitation logs of any kind</w:t>
      </w:r>
    </w:p>
    <w:p>
      <w:pPr>
        <w:pStyle w:val="ListBullet"/>
      </w:pPr>
      <w:r>
        <w:t>No pest control program</w:t>
      </w:r>
    </w:p>
    <w:p>
      <w:pPr>
        <w:pStyle w:val="ListBullet"/>
      </w:pPr>
      <w:r>
        <w:t>No temperature or humidity controls in the packing area</w:t>
      </w:r>
    </w:p>
    <w:p>
      <w:pPr>
        <w:pStyle w:val="ListBullet"/>
      </w:pPr>
      <w:r>
        <w:t>No segregation between food-contact surfaces and non-food-contact</w:t>
      </w:r>
    </w:p>
    <w:p>
      <w:pPr>
        <w:jc w:val="both"/>
      </w:pPr>
      <w:r>
        <w:t xml:space="preserve">  surfaces</w:t>
      </w:r>
    </w:p>
    <w:p>
      <w:pPr>
        <w:jc w:val="both"/>
      </w:pPr>
      <w:r>
        <w:t>CONTEXT: The subject's place of business is a commercial office</w:t>
      </w:r>
    </w:p>
    <w:p>
      <w:pPr>
        <w:jc w:val="both"/>
      </w:pPr>
      <w:r>
        <w:t>suite in a Bloomington, MN office park. The unit is configured as</w:t>
      </w:r>
    </w:p>
    <w:p>
      <w:pPr>
        <w:jc w:val="both"/>
      </w:pPr>
      <w:r>
        <w:t>standard office space (carpeted floors, drop ceilings, residential-</w:t>
      </w:r>
    </w:p>
    <w:p>
      <w:pPr>
        <w:jc w:val="both"/>
      </w:pPr>
      <w:r>
        <w:t>grade plumbing) and is not designed or equipped for food or</w:t>
      </w:r>
    </w:p>
    <w:p>
      <w:pPr>
        <w:jc w:val="both"/>
      </w:pPr>
      <w:r>
        <w:t>dietary supplement manufacturing.</w:t>
      </w:r>
    </w:p>
    <w:p>
      <w:pPr>
        <w:jc w:val="both"/>
      </w:pPr>
      <w:r>
        <w:t>EVIDENCE:</w:t>
      </w:r>
    </w:p>
    <w:p>
      <w:pPr>
        <w:pStyle w:val="ListBullet"/>
      </w:pPr>
      <w:r>
        <w:t>Photographic evidence of the workspace with preserved EXIF</w:t>
      </w:r>
    </w:p>
    <w:p>
      <w:pPr>
        <w:jc w:val="both"/>
      </w:pPr>
      <w:r>
        <w:t xml:space="preserve">  metadata and SHA-256 cryptographic hashes</w:t>
      </w:r>
    </w:p>
    <w:p>
      <w:pPr>
        <w:pStyle w:val="ListBullet"/>
      </w:pPr>
      <w:r>
        <w:t>Video evidence of the packing process with preserved metadata</w:t>
      </w:r>
    </w:p>
    <w:p>
      <w:pPr>
        <w:jc w:val="both"/>
      </w:pPr>
      <w:r>
        <w:t xml:space="preserve">  and SHA-256 hashes</w:t>
      </w:r>
    </w:p>
    <w:p>
      <w:pPr>
        <w:pStyle w:val="ListBullet"/>
      </w:pPr>
      <w:r>
        <w:t>Photographs showing the absence of food-grade equipment,</w:t>
      </w:r>
    </w:p>
    <w:p>
      <w:pPr>
        <w:jc w:val="both"/>
      </w:pPr>
      <w:r>
        <w:t xml:space="preserve">  sanitation stations, and protective clothing</w:t>
      </w:r>
    </w:p>
    <w:p>
      <w:pPr>
        <w:jc w:val="both"/>
      </w:pPr>
      <w:r>
        <w:t>STATUTORY VIOLATIONS:</w:t>
      </w:r>
    </w:p>
    <w:p>
      <w:pPr>
        <w:pStyle w:val="ListBullet"/>
      </w:pPr>
      <w:r>
        <w:t>21 U.S.C. § 342(a)(4) — Adulterated: prepared under insanitary</w:t>
      </w:r>
    </w:p>
    <w:p>
      <w:pPr>
        <w:jc w:val="both"/>
      </w:pPr>
      <w:r>
        <w:t xml:space="preserve">  conditions whereby it may have become contaminated with filth</w:t>
      </w:r>
    </w:p>
    <w:p>
      <w:pPr>
        <w:pStyle w:val="ListBullet"/>
      </w:pPr>
      <w:r>
        <w:t>21 C.F.R. Part 117, Subpart B — CGMP requirements</w:t>
      </w:r>
    </w:p>
    <w:p>
      <w:pPr>
        <w:pStyle w:val="ListBullet"/>
      </w:pPr>
      <w:r>
        <w:t>21 C.F.R. Part 111, Subparts B and E — Dietary supplement CGMP</w:t>
      </w:r>
    </w:p>
    <w:p>
      <w:pPr>
        <w:jc w:val="both"/>
      </w:pPr>
      <w:r>
        <w:t>HEALTH IMPACT: Consumers ingesting products manufactured under</w:t>
      </w:r>
    </w:p>
    <w:p>
      <w:pPr>
        <w:jc w:val="both"/>
      </w:pPr>
      <w:r>
        <w:t>these conditions face increased risk of microbial contamination</w:t>
      </w:r>
    </w:p>
    <w:p>
      <w:pPr>
        <w:jc w:val="both"/>
      </w:pPr>
      <w:r>
        <w:t>(Listeria, Salmonella, E. coli), foreign-object contamination,</w:t>
      </w:r>
    </w:p>
    <w:p>
      <w:pPr>
        <w:jc w:val="both"/>
      </w:pPr>
      <w:r>
        <w:t>and allergen cross-contact. For products containing THC/CBD, where</w:t>
      </w:r>
    </w:p>
    <w:p>
      <w:pPr>
        <w:jc w:val="both"/>
      </w:pPr>
      <w:r>
        <w:t>many consumers are immunocompromised, elderly, or pediatric, the</w:t>
      </w:r>
    </w:p>
    <w:p>
      <w:pPr>
        <w:jc w:val="both"/>
      </w:pPr>
      <w:r>
        <w:t>risk of serious adverse health consequences is substantially</w:t>
      </w:r>
    </w:p>
    <w:p>
      <w:pPr>
        <w:jc w:val="both"/>
      </w:pPr>
      <w:r>
        <w:t>elevated.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6 — ALLEGATION A-04: RETALIATORY DEATH THREATS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SUMMARY: Within hours of the reporting party's public disclosure</w:t>
      </w:r>
    </w:p>
    <w:p>
      <w:pPr>
        <w:jc w:val="both"/>
      </w:pPr>
      <w:r>
        <w:t>of the conduct described in Sections 3-5 above and the filing of</w:t>
      </w:r>
    </w:p>
    <w:p>
      <w:pPr>
        <w:jc w:val="both"/>
      </w:pPr>
      <w:r>
        <w:t>the parallel FDA OCI consumer tip, the reporting party received</w:t>
      </w:r>
    </w:p>
    <w:p>
      <w:pPr>
        <w:jc w:val="both"/>
      </w:pPr>
      <w:r>
        <w:t>documented death threats from the subject's family in direct</w:t>
      </w:r>
    </w:p>
    <w:p>
      <w:pPr>
        <w:jc w:val="both"/>
      </w:pPr>
      <w:r>
        <w:t>retaliation for the consumer-protection disclosure.</w:t>
      </w:r>
    </w:p>
    <w:p>
      <w:pPr>
        <w:jc w:val="both"/>
      </w:pPr>
      <w:r>
        <w:t>CHRONOLOGY (2026-08-02):</w:t>
      </w:r>
    </w:p>
    <w:p>
      <w:pPr>
        <w:pStyle w:val="ListBullet"/>
      </w:pPr>
      <w:r>
        <w:t>~12:00 PM CST: Reporting party publishes consumer-warning</w:t>
      </w:r>
    </w:p>
    <w:p>
      <w:pPr>
        <w:jc w:val="both"/>
      </w:pPr>
      <w:r>
        <w:t xml:space="preserve">  website at https://nutrionelements.com documenting alleged</w:t>
      </w:r>
    </w:p>
    <w:p>
      <w:pPr>
        <w:jc w:val="both"/>
      </w:pPr>
      <w:r>
        <w:t xml:space="preserve">  violations</w:t>
      </w:r>
    </w:p>
    <w:p>
      <w:pPr>
        <w:pStyle w:val="ListBullet"/>
      </w:pPr>
      <w:r>
        <w:t>~4:31 PM CST: Bri Bosma (subject's spouse) leaves 31-second</w:t>
      </w:r>
    </w:p>
    <w:p>
      <w:pPr>
        <w:jc w:val="both"/>
      </w:pPr>
      <w:r>
        <w:t xml:space="preserve">  voicemail on reporting party's mobile phone in which Evan Bosma is heard in the background stating the death threat</w:t>
      </w:r>
    </w:p>
    <w:p>
      <w:pPr>
        <w:pStyle w:val="ListBullet"/>
      </w:pPr>
      <w:r>
        <w:t>~4:32 PM CST: Evan Bosma (subject) places reinforcing phone</w:t>
      </w:r>
    </w:p>
    <w:p>
      <w:pPr>
        <w:jc w:val="both"/>
      </w:pPr>
      <w:r>
        <w:t xml:space="preserve">  call from same number</w:t>
      </w:r>
    </w:p>
    <w:p>
      <w:pPr>
        <w:pStyle w:val="ListBullet"/>
      </w:pPr>
      <w:r>
        <w:t>~4:34 PM CST: Bri Bosma sends text message with verbatim death</w:t>
      </w:r>
    </w:p>
    <w:p>
      <w:pPr>
        <w:jc w:val="both"/>
      </w:pPr>
      <w:r>
        <w:t xml:space="preserve">  threat repeated</w:t>
      </w:r>
    </w:p>
    <w:p>
      <w:pPr>
        <w:pStyle w:val="ListBullet"/>
      </w:pPr>
      <w:r>
        <w:t>~4:45 PM CST: Reporting party files police report (Blaine PD</w:t>
      </w:r>
    </w:p>
    <w:p>
      <w:pPr>
        <w:jc w:val="both"/>
      </w:pPr>
      <w:r>
        <w:t xml:space="preserve">  Case 2618-0471)</w:t>
      </w:r>
    </w:p>
    <w:p>
      <w:pPr>
        <w:pStyle w:val="ListBullet"/>
      </w:pPr>
      <w:r>
        <w:t>10:34 PM CST: Reporting party submits FDA OCI consumer tip</w:t>
      </w:r>
    </w:p>
    <w:p>
      <w:pPr>
        <w:jc w:val="both"/>
      </w:pPr>
      <w:r>
        <w:t xml:space="preserve">  via email to fdaoci@fda.gov (later the same evening)</w:t>
      </w:r>
    </w:p>
    <w:p>
      <w:pPr>
        <w:jc w:val="both"/>
      </w:pPr>
      <w:r>
        <w:t>VERBATIM DEATH THREAT (voicemail 2026-08-02, Evan Bosma speaking in background during Bri Bosma call):</w:t>
      </w:r>
    </w:p>
    <w:p>
      <w:pPr>
        <w:jc w:val="both"/>
      </w:pPr>
      <w:r>
        <w:t>"Hi, Aladdin, you need to get yourself the fuck out of our lives.</w:t>
      </w:r>
    </w:p>
    <w:p>
      <w:pPr>
        <w:jc w:val="both"/>
      </w:pPr>
      <w:r>
        <w:t>I'm gonna fucking kill you, bitch. This is absolutely ridiculous.</w:t>
      </w:r>
    </w:p>
    <w:p>
      <w:pPr>
        <w:jc w:val="both"/>
      </w:pPr>
      <w:r>
        <w:t>A, you have no control over this fucking website. You're simply</w:t>
      </w:r>
    </w:p>
    <w:p>
      <w:pPr>
        <w:jc w:val="both"/>
      </w:pPr>
      <w:r>
        <w:t>an employee who has now taken advantage of any trust that was</w:t>
      </w:r>
    </w:p>
    <w:p>
      <w:pPr>
        <w:jc w:val="both"/>
      </w:pPr>
      <w:r>
        <w:t>given to you, and here you are fucking ruining our lives, and</w:t>
      </w:r>
    </w:p>
    <w:p>
      <w:pPr>
        <w:jc w:val="both"/>
      </w:pPr>
      <w:r>
        <w:t>you better bet. You will go down for this. I can promise you</w:t>
      </w:r>
    </w:p>
    <w:p>
      <w:pPr>
        <w:jc w:val="both"/>
      </w:pPr>
      <w:r>
        <w:t>that right fucking now. Get yourself out of our lives, restore</w:t>
      </w:r>
    </w:p>
    <w:p>
      <w:pPr>
        <w:jc w:val="both"/>
      </w:pPr>
      <w:r>
        <w:t>our fucking website before you go to fucking prison."</w:t>
      </w:r>
    </w:p>
    <w:p>
      <w:pPr>
        <w:jc w:val="both"/>
      </w:pPr>
      <w:r>
        <w:t>EVIDENCE:</w:t>
      </w:r>
    </w:p>
    <w:p>
      <w:pPr>
        <w:pStyle w:val="ListBullet"/>
      </w:pPr>
      <w:r>
        <w:t>Voicemail recording (.amr format, 25,046 bytes, 31 seconds)</w:t>
      </w:r>
    </w:p>
    <w:p>
      <w:pPr>
        <w:pStyle w:val="ListBullet"/>
      </w:pPr>
      <w:r>
        <w:t>SHA-256 hash: 3a28a4fc9c4f1398d1b40250d329fde033651255c7c4bba8b2643922afa1bbdb</w:t>
      </w:r>
    </w:p>
    <w:p>
      <w:pPr>
        <w:pStyle w:val="ListBullet"/>
      </w:pPr>
      <w:r>
        <w:t>Text-message screen-capture with embedded voicemail visual</w:t>
      </w:r>
    </w:p>
    <w:p>
      <w:pPr>
        <w:pStyle w:val="ListBullet"/>
      </w:pPr>
      <w:r>
        <w:t>Phone-call log screen-capture</w:t>
      </w:r>
    </w:p>
    <w:p>
      <w:pPr>
        <w:pStyle w:val="ListBullet"/>
      </w:pPr>
      <w:r>
        <w:t>Blaine PD Case 2618-0471 (police report filed)</w:t>
      </w:r>
    </w:p>
    <w:p>
      <w:pPr>
        <w:pStyle w:val="ListBullet"/>
      </w:pPr>
      <w:r>
        <w:t>Complete evidence package at https://nutrionelements.com/evidence/evidence-package.zip</w:t>
      </w:r>
    </w:p>
    <w:p>
      <w:pPr>
        <w:jc w:val="both"/>
      </w:pPr>
      <w:r>
        <w:t>STATUTORY VIOLATIONS:</w:t>
      </w:r>
    </w:p>
    <w:p>
      <w:pPr>
        <w:pStyle w:val="ListBullet"/>
      </w:pPr>
      <w:r>
        <w:t>47 U.S.C. § 223 — Interstate threats by telecommunications</w:t>
      </w:r>
    </w:p>
    <w:p>
      <w:pPr>
        <w:jc w:val="both"/>
      </w:pPr>
      <w:r>
        <w:t xml:space="preserve">  (voicemail crossed state lines from subject to reporting party)</w:t>
      </w:r>
    </w:p>
    <w:p>
      <w:pPr>
        <w:pStyle w:val="ListBullet"/>
      </w:pPr>
      <w:r>
        <w:t>18 U.S.C. § 1513 — Retaliation against a federal witness</w:t>
      </w:r>
    </w:p>
    <w:p>
      <w:pPr>
        <w:jc w:val="both"/>
      </w:pPr>
      <w:r>
        <w:t xml:space="preserve">  (reporting party is a federal whistleblower in cooperation</w:t>
      </w:r>
    </w:p>
    <w:p>
      <w:pPr>
        <w:jc w:val="both"/>
      </w:pPr>
      <w:r>
        <w:t xml:space="preserve">  with FDA OCI)</w:t>
      </w:r>
    </w:p>
    <w:p>
      <w:pPr>
        <w:pStyle w:val="ListBullet"/>
      </w:pPr>
      <w:r>
        <w:t>Minn. Stat. § 609.713 — Terroristic Threats (state felony)</w:t>
      </w:r>
    </w:p>
    <w:p>
      <w:pPr>
        <w:jc w:val="both"/>
      </w:pPr>
      <w:r>
        <w:t>FEDERAL WITNESS PROTECTION:</w:t>
      </w:r>
    </w:p>
    <w:p>
      <w:pPr>
        <w:jc w:val="both"/>
      </w:pPr>
      <w:r>
        <w:t>The reporting party is now a documented federal whistleblower</w:t>
      </w:r>
    </w:p>
    <w:p>
      <w:pPr>
        <w:jc w:val="both"/>
      </w:pPr>
      <w:r>
        <w:t>cooperating with FDA OCI. The threats documented in this Section</w:t>
      </w:r>
    </w:p>
    <w:p>
      <w:pPr>
        <w:jc w:val="both"/>
      </w:pPr>
      <w:r>
        <w:t>are directed at a federal witness in retaliation for federal</w:t>
      </w:r>
    </w:p>
    <w:p>
      <w:pPr>
        <w:jc w:val="both"/>
      </w:pPr>
      <w:r>
        <w:t>cooperation. FBI victim-witness coordinators have authority under</w:t>
      </w:r>
    </w:p>
    <w:p>
      <w:pPr>
        <w:jc w:val="both"/>
      </w:pPr>
      <w:r>
        <w:t>18 U.S.C. § 1513 and 28 C.F.R. Part 9 to provide protective</w:t>
      </w:r>
    </w:p>
    <w:p>
      <w:pPr>
        <w:jc w:val="both"/>
      </w:pPr>
      <w:r>
        <w:t>measures.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7 — PARALLEL STATE AND FEDERAL FILINGS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The same underlying conduct has been reported to the following</w:t>
      </w:r>
    </w:p>
    <w:p>
      <w:pPr>
        <w:jc w:val="both"/>
      </w:pPr>
      <w:r>
        <w:t>agencies (as of 2026-08-02):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t>#</w:t>
            </w:r>
          </w:p>
        </w:tc>
        <w:tc>
          <w:tcPr>
            <w:tcW w:type="dxa" w:w="2520"/>
          </w:tcPr>
          <w:p>
            <w:r>
              <w:t>Agency</w:t>
            </w:r>
          </w:p>
        </w:tc>
        <w:tc>
          <w:tcPr>
            <w:tcW w:type="dxa" w:w="2520"/>
          </w:tcPr>
          <w:p>
            <w:r>
              <w:t>Status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1</w:t>
            </w:r>
          </w:p>
        </w:tc>
        <w:tc>
          <w:tcPr>
            <w:tcW w:type="dxa" w:w="2520"/>
          </w:tcPr>
          <w:p>
            <w:r>
              <w:t>FDA OCI</w:t>
            </w:r>
          </w:p>
        </w:tc>
        <w:tc>
          <w:tcPr>
            <w:tcW w:type="dxa" w:w="2520"/>
          </w:tcPr>
          <w:p>
            <w:r>
              <w:t>FILED 2026-08-02 10:34 PM CST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2</w:t>
            </w:r>
          </w:p>
        </w:tc>
        <w:tc>
          <w:tcPr>
            <w:tcW w:type="dxa" w:w="2520"/>
          </w:tcPr>
          <w:p>
            <w:r>
              <w:t>Blaine PD (Case 2618-0471)</w:t>
            </w:r>
          </w:p>
        </w:tc>
        <w:tc>
          <w:tcPr>
            <w:tcW w:type="dxa" w:w="2520"/>
          </w:tcPr>
          <w:p>
            <w:r>
              <w:t>FILED 2026-08-02 ~4:45 PM CST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3</w:t>
            </w:r>
          </w:p>
        </w:tc>
        <w:tc>
          <w:tcPr>
            <w:tcW w:type="dxa" w:w="2520"/>
          </w:tcPr>
          <w:p>
            <w:r>
              <w:t>Minnesota Office of Cannabis Mgmt</w:t>
            </w:r>
          </w:p>
        </w:tc>
        <w:tc>
          <w:tcPr>
            <w:tcW w:type="dxa" w:w="2520"/>
          </w:tcPr>
          <w:p>
            <w:r>
              <w:t>FILED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4</w:t>
            </w:r>
          </w:p>
        </w:tc>
        <w:tc>
          <w:tcPr>
            <w:tcW w:type="dxa" w:w="2520"/>
          </w:tcPr>
          <w:p>
            <w:r>
              <w:t>North Dakota Dept of Agriculture</w:t>
            </w:r>
          </w:p>
        </w:tc>
        <w:tc>
          <w:tcPr>
            <w:tcW w:type="dxa" w:w="2520"/>
          </w:tcPr>
          <w:p>
            <w:r>
              <w:t>FILED (J. Mortenson)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5</w:t>
            </w:r>
          </w:p>
        </w:tc>
        <w:tc>
          <w:tcPr>
            <w:tcW w:type="dxa" w:w="2520"/>
          </w:tcPr>
          <w:p>
            <w:r>
              <w:t>Minnesota Department of Health</w:t>
            </w:r>
          </w:p>
        </w:tc>
        <w:tc>
          <w:tcPr>
            <w:tcW w:type="dxa" w:w="2520"/>
          </w:tcPr>
          <w:p>
            <w:r>
              <w:t>FILED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6</w:t>
            </w:r>
          </w:p>
        </w:tc>
        <w:tc>
          <w:tcPr>
            <w:tcW w:type="dxa" w:w="2520"/>
          </w:tcPr>
          <w:p>
            <w:r>
              <w:t>FBI Minneapolis (this filing)</w:t>
            </w:r>
          </w:p>
        </w:tc>
        <w:tc>
          <w:tcPr>
            <w:tcW w:type="dxa" w:w="2520"/>
          </w:tcPr>
          <w:p>
            <w:r>
              <w:t>FILED 2026-08-02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7</w:t>
            </w:r>
          </w:p>
        </w:tc>
        <w:tc>
          <w:tcPr>
            <w:tcW w:type="dxa" w:w="2520"/>
          </w:tcPr>
          <w:p>
            <w:r>
              <w:t>Minnesota Attorney General</w:t>
            </w:r>
          </w:p>
        </w:tc>
        <w:tc>
          <w:tcPr>
            <w:tcW w:type="dxa" w:w="2520"/>
          </w:tcPr>
          <w:p>
            <w:r>
              <w:t>PLANNED</w:t>
            </w:r>
          </w:p>
        </w:tc>
        <w:tc>
          <w:tcPr>
            <w:tcW w:type="dxa" w:w="2520"/>
          </w:tcPr>
          <w:p>
            <w:r/>
          </w:p>
        </w:tc>
      </w:tr>
    </w:tbl>
    <w:p/>
    <w:p>
      <w:pPr>
        <w:jc w:val="both"/>
      </w:pPr>
      <w:r>
        <w:t>This complaint to FBI Minneapolis is the federal criminal filing</w:t>
      </w:r>
    </w:p>
    <w:p>
      <w:pPr>
        <w:jc w:val="both"/>
      </w:pPr>
      <w:r>
        <w:t>for the conduct described. The reporting party respectfully</w:t>
      </w:r>
    </w:p>
    <w:p>
      <w:pPr>
        <w:jc w:val="both"/>
      </w:pPr>
      <w:r>
        <w:t>requests that FBI Minneapolis coordinate with FDA OCI and the</w:t>
      </w:r>
    </w:p>
    <w:p>
      <w:pPr>
        <w:jc w:val="both"/>
      </w:pPr>
      <w:r>
        <w:t>Minnesota and North Dakota state agencies listed above.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8 — EVIDENCE PRESERVATION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A complete evidence package is preserved at:</w:t>
      </w:r>
    </w:p>
    <w:p>
      <w:pPr>
        <w:jc w:val="both"/>
      </w:pPr>
      <w:r>
        <w:t xml:space="preserve">  https://nutrionelements.com/evidence/evidence-package.zip</w:t>
      </w:r>
    </w:p>
    <w:p>
      <w:pPr>
        <w:jc w:val="both"/>
      </w:pPr>
      <w:r>
        <w:t xml:space="preserve">  SHA-256: 944cd7b872b91cca55aeb166775c220cf978aff805a34538d1e12897444b2392</w:t>
      </w:r>
    </w:p>
    <w:p>
      <w:pPr>
        <w:jc w:val="both"/>
      </w:pPr>
      <w:r>
        <w:t>The package contains:</w:t>
      </w:r>
    </w:p>
    <w:p>
      <w:pPr>
        <w:pStyle w:val="ListBullet"/>
      </w:pPr>
      <w:r>
        <w:t>Original voicemail recording (.amr, 25,046 bytes, SHA-256 verified)</w:t>
      </w:r>
    </w:p>
    <w:p>
      <w:pPr>
        <w:pStyle w:val="ListBullet"/>
      </w:pPr>
      <w:r>
        <w:t>Two screenshots with preserved EXIF metadata</w:t>
      </w:r>
    </w:p>
    <w:p>
      <w:pPr>
        <w:pStyle w:val="ListBullet"/>
      </w:pPr>
      <w:r>
        <w:t>Complete incident report</w:t>
      </w:r>
    </w:p>
    <w:p>
      <w:pPr>
        <w:pStyle w:val="ListBullet"/>
      </w:pPr>
      <w:r>
        <w:t>Manifest with chain-of-custody hashes</w:t>
      </w:r>
    </w:p>
    <w:p>
      <w:pPr>
        <w:jc w:val="both"/>
      </w:pPr>
      <w:r>
        <w:t>Original documents including COAs, production records, packaging</w:t>
      </w:r>
    </w:p>
    <w:p>
      <w:pPr>
        <w:jc w:val="both"/>
      </w:pPr>
      <w:r>
        <w:t>samples, Bergseth distribution records (if obtainable via</w:t>
      </w:r>
    </w:p>
    <w:p>
      <w:pPr>
        <w:jc w:val="both"/>
      </w:pPr>
      <w:r>
        <w:t>subpoena), and text-message logs are preserved and available for</w:t>
      </w:r>
    </w:p>
    <w:p>
      <w:pPr>
        <w:jc w:val="both"/>
      </w:pPr>
      <w:r>
        <w:t>production to FBI upon proper request. The reporting party's</w:t>
      </w:r>
    </w:p>
    <w:p>
      <w:pPr>
        <w:jc w:val="both"/>
      </w:pPr>
      <w:r>
        <w:t>mobile device is available for forensic examination.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9 — PRESUMPTION OF INNOCENCE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The reporting party acknowledges that all matters described in</w:t>
      </w:r>
    </w:p>
    <w:p>
      <w:pPr>
        <w:jc w:val="both"/>
      </w:pPr>
      <w:r>
        <w:t>this complaint constitute allegations. The subject retains the</w:t>
      </w:r>
    </w:p>
    <w:p>
      <w:pPr>
        <w:jc w:val="both"/>
      </w:pPr>
      <w:r>
        <w:t>presumption of innocence with respect to any adjudication by FBI,</w:t>
      </w:r>
    </w:p>
    <w:p>
      <w:pPr>
        <w:jc w:val="both"/>
      </w:pPr>
      <w:r>
        <w:t>any federal prosecutor, or any court of competent jurisdiction.</w:t>
      </w:r>
    </w:p>
    <w:p>
      <w:pPr>
        <w:jc w:val="both"/>
      </w:pPr>
      <w:r>
        <w:t>The subject may respond to the allegations through appropriate</w:t>
      </w:r>
    </w:p>
    <w:p>
      <w:pPr>
        <w:jc w:val="both"/>
      </w:pPr>
      <w:r>
        <w:t>legal channels.</w:t>
      </w:r>
    </w:p>
    <w:p>
      <w:pPr>
        <w:jc w:val="both"/>
      </w:pPr>
      <w:r>
        <w:t>This complaint is submitted in good faith, based on direct</w:t>
      </w:r>
    </w:p>
    <w:p>
      <w:pPr>
        <w:jc w:val="both"/>
      </w:pPr>
      <w:r>
        <w:t>firsthand observation and contemporaneous business records, with</w:t>
      </w:r>
    </w:p>
    <w:p>
      <w:pPr>
        <w:jc w:val="both"/>
      </w:pPr>
      <w:r>
        <w:t>the intent of protecting public health and enabling federal law</w:t>
      </w:r>
    </w:p>
    <w:p>
      <w:pPr>
        <w:jc w:val="both"/>
      </w:pPr>
      <w:r>
        <w:t>enforcement discharge of statutory duties.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SECTION 10 — AVAILABILITY FOR FOLLOW-UP</w:t>
      </w:r>
    </w:p>
    <w:p>
      <w:pPr>
        <w:jc w:val="both"/>
      </w:pPr>
      <w:r>
        <w:t>================================================================================</w:t>
      </w:r>
    </w:p>
    <w:p>
      <w:pPr>
        <w:jc w:val="both"/>
      </w:pPr>
      <w:r>
        <w:t>The reporting party served as Chief Operating Officer under a</w:t>
      </w:r>
    </w:p>
    <w:p>
      <w:pPr>
        <w:jc w:val="both"/>
      </w:pPr>
      <w:r>
        <w:t>verbal agreement during the period of employment described in</w:t>
      </w:r>
    </w:p>
    <w:p>
      <w:pPr>
        <w:jc w:val="both"/>
      </w:pPr>
      <w:r>
        <w:t>Section 1 and accordingly has direct firsthand knowledge of the</w:t>
      </w:r>
    </w:p>
    <w:p>
      <w:pPr>
        <w:jc w:val="both"/>
      </w:pPr>
      <w:r>
        <w:t>subject's manufacturing operations, production records,</w:t>
      </w:r>
    </w:p>
    <w:p>
      <w:pPr>
        <w:jc w:val="both"/>
      </w:pPr>
      <w:r>
        <w:t>labeling decisions, batch documentation, and supply-chain</w:t>
      </w:r>
    </w:p>
    <w:p>
      <w:pPr>
        <w:jc w:val="both"/>
      </w:pPr>
      <w:r>
        <w:t>practices.</w:t>
      </w:r>
    </w:p>
    <w:p>
      <w:pPr>
        <w:jc w:val="both"/>
      </w:pPr>
      <w:r>
        <w:t>The reporting party is available to:</w:t>
      </w:r>
    </w:p>
    <w:p>
      <w:pPr>
        <w:pStyle w:val="ListBullet"/>
      </w:pPr>
      <w:r>
        <w:t>Provide original documents to FBI upon proper request</w:t>
      </w:r>
    </w:p>
    <w:p>
      <w:pPr>
        <w:pStyle w:val="ListBullet"/>
      </w:pPr>
      <w:r>
        <w:t>Testify regarding the conduct described above</w:t>
      </w:r>
    </w:p>
    <w:p>
      <w:pPr>
        <w:pStyle w:val="ListBullet"/>
      </w:pPr>
      <w:r>
        <w:t>Coordinate with federal and state agencies investigating</w:t>
      </w:r>
    </w:p>
    <w:p>
      <w:pPr>
        <w:jc w:val="both"/>
      </w:pPr>
      <w:r>
        <w:t xml:space="preserve">  the same conduct</w:t>
      </w:r>
    </w:p>
    <w:p>
      <w:pPr>
        <w:pStyle w:val="ListBullet"/>
      </w:pPr>
      <w:r>
        <w:t>Submit to interview by FBI investigators at a secure location</w:t>
      </w:r>
    </w:p>
    <w:p>
      <w:pPr>
        <w:pStyle w:val="ListBullet"/>
      </w:pPr>
      <w:r>
        <w:t>Provide authentication and chain-of-custody documentation for</w:t>
      </w:r>
    </w:p>
    <w:p>
      <w:pPr>
        <w:jc w:val="both"/>
      </w:pPr>
      <w:r>
        <w:t xml:space="preserve">  all evidence referenced in this complaint</w:t>
      </w:r>
    </w:p>
    <w:p>
      <w:pPr>
        <w:jc w:val="both"/>
      </w:pPr>
      <w:r>
        <w:t>The reporting party respectfully requests that all FBI</w:t>
      </w:r>
    </w:p>
    <w:p>
      <w:pPr>
        <w:jc w:val="both"/>
      </w:pPr>
      <w:r>
        <w:t>correspondence regarding this complaint be conducted via the</w:t>
      </w:r>
    </w:p>
    <w:p>
      <w:pPr>
        <w:jc w:val="both"/>
      </w:pPr>
      <w:r>
        <w:t>secure email address listed below. The reporting party has</w:t>
      </w:r>
    </w:p>
    <w:p>
      <w:pPr>
        <w:jc w:val="both"/>
      </w:pPr>
      <w:r>
        <w:t>received death threats from the subject's family in retaliation</w:t>
      </w:r>
    </w:p>
    <w:p>
      <w:pPr>
        <w:jc w:val="both"/>
      </w:pPr>
      <w:r>
        <w:t>for filing the parallel FDA OCI consumer tip and prefers secure</w:t>
      </w:r>
    </w:p>
    <w:p>
      <w:pPr>
        <w:jc w:val="both"/>
      </w:pPr>
      <w:r>
        <w:t>email contact.</w:t>
      </w:r>
    </w:p>
    <w:p>
      <w:pPr>
        <w:jc w:val="both"/>
      </w:pPr>
      <w:r>
        <w:t>The reporting party also requests that FBI keep this complaint</w:t>
      </w:r>
    </w:p>
    <w:p>
      <w:pPr>
        <w:jc w:val="both"/>
      </w:pPr>
      <w:r>
        <w:t>and the reporting party's identity confidential from public</w:t>
      </w:r>
    </w:p>
    <w:p>
      <w:pPr>
        <w:jc w:val="both"/>
      </w:pPr>
      <w:r>
        <w:t>disclosure to the maximum extent permitted by law, in order to</w:t>
      </w:r>
    </w:p>
    <w:p>
      <w:pPr>
        <w:jc w:val="both"/>
      </w:pPr>
      <w:r>
        <w:t>protect the reporting party from further retaliation.</w:t>
      </w:r>
    </w:p>
    <w:p>
      <w:pPr>
        <w:jc w:val="both"/>
      </w:pPr>
      <w:r>
        <w:t>Reporting Party: Anonymous former COO under verbal agreement</w:t>
      </w:r>
    </w:p>
    <w:p>
      <w:pPr>
        <w:jc w:val="both"/>
      </w:pPr>
      <w:r>
        <w:t>Email (secure, for FBI correspondence): fitnesslogicmn@gmail.com</w:t>
      </w:r>
    </w:p>
    <w:p>
      <w:pPr>
        <w:jc w:val="both"/>
      </w:pPr>
      <w:r>
        <w:t>Federal references: FDA OCI tip filed 2026-08-02;</w:t>
      </w:r>
    </w:p>
    <w:p>
      <w:pPr>
        <w:jc w:val="both"/>
      </w:pPr>
      <w:r>
        <w:t xml:space="preserve">                    Blaine PD Case 2618-0471</w:t>
      </w:r>
    </w:p>
    <w:p>
      <w:pPr>
        <w:jc w:val="both"/>
      </w:pPr>
      <w:r>
        <w:t>Date of submission: 2026-08-02</w:t>
      </w:r>
    </w:p>
    <w:p>
      <w:pPr>
        <w:jc w:val="both"/>
      </w:pPr>
      <w:r>
        <w:t>End of FBI complaint.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