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FDA OCI TIP — EVAN BOSMA / NUTRITION EXCELLENCE LLC</w:t>
      </w:r>
    </w:p>
    <w:p>
      <w:pPr>
        <w:pStyle w:val="Heading1"/>
      </w:pPr>
      <w:r>
        <w:t>FINAL VERSION — FDA-FOCUSED, SURVEILLANCE REMOVED</w:t>
      </w:r>
    </w:p>
    <w:p>
      <w:pPr>
        <w:jc w:val="both"/>
      </w:pPr>
      <w:r>
        <w:t>TO:      fdaoci@fda.gov</w:t>
      </w:r>
    </w:p>
    <w:p>
      <w:pPr>
        <w:jc w:val="both"/>
      </w:pPr>
      <w:r>
        <w:t>SUBJECT: Consumer Tip — Interstate Adulteration, Misbranding, and CGMP</w:t>
      </w:r>
    </w:p>
    <w:p>
      <w:pPr>
        <w:jc w:val="both"/>
      </w:pPr>
      <w:r>
        <w:t xml:space="preserve">         Violations — Nutrition Excellence LLC (Bloomington, MN) —</w:t>
      </w:r>
    </w:p>
    <w:p>
      <w:pPr>
        <w:jc w:val="both"/>
      </w:pPr>
      <w:r>
        <w:t xml:space="preserve">         Blaine PD Case 2618-0471</w:t>
      </w:r>
    </w:p>
    <w:p>
      <w:pPr>
        <w:jc w:val="both"/>
      </w:pPr>
      <w:r>
        <w:t>BODY:</w:t>
      </w:r>
    </w:p>
    <w:p>
      <w:pPr>
        <w:jc w:val="both"/>
      </w:pPr>
      <w:r>
        <w:t>Reporting Party:  Anonymous former employee of Nutrition Excellence LLC</w:t>
      </w:r>
    </w:p>
    <w:p>
      <w:pPr>
        <w:jc w:val="both"/>
      </w:pPr>
      <w:r>
        <w:t>Date of Conduct:  December 2025 through August 2026</w:t>
      </w:r>
    </w:p>
    <w:p>
      <w:pPr>
        <w:jc w:val="both"/>
      </w:pPr>
      <w:r>
        <w:t>Date of Report:   2026-08-02</w:t>
      </w:r>
    </w:p>
    <w:p>
      <w:pPr>
        <w:jc w:val="both"/>
      </w:pPr>
      <w:r>
        <w:t>Local Reference:  Blaine Police Department Case 2618-0471</w:t>
      </w:r>
    </w:p>
    <w:p>
      <w:pPr>
        <w:jc w:val="both"/>
      </w:pPr>
      <w:r>
        <w:t xml:space="preserve">                  (death-threat report filed same day by subjects'</w:t>
      </w:r>
    </w:p>
    <w:p>
      <w:pPr>
        <w:jc w:val="both"/>
      </w:pPr>
      <w:r>
        <w:t xml:space="preserve">                   spouse in retaliation for this consumer complaint)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1 — SUBJECT AND SCOPE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Business:        Nutrition Excellence LLC (Minnesota LLC)</w:t>
      </w:r>
    </w:p>
    <w:p>
      <w:pPr>
        <w:jc w:val="both"/>
      </w:pPr>
      <w:r>
        <w:t>d/b/a:           "Nutrition Elements" and "Moonshot Gummies"</w:t>
      </w:r>
    </w:p>
    <w:p>
      <w:pPr>
        <w:jc w:val="both"/>
      </w:pPr>
      <w:r>
        <w:t>Sole Member:     Evan Bosma</w:t>
      </w:r>
    </w:p>
    <w:p>
      <w:pPr>
        <w:jc w:val="both"/>
      </w:pPr>
      <w:r>
        <w:t>Address:         10740 Lyndale Avenue, Suite 11W</w:t>
      </w:r>
    </w:p>
    <w:p>
      <w:pPr>
        <w:jc w:val="both"/>
      </w:pPr>
      <w:r>
        <w:t xml:space="preserve">                  Bloomington, MN 55420</w:t>
      </w:r>
    </w:p>
    <w:p>
      <w:pPr>
        <w:jc w:val="both"/>
      </w:pPr>
      <w:r>
        <w:t>Products:        Flavored gummies and tinctures containing</w:t>
      </w:r>
    </w:p>
    <w:p>
      <w:pPr>
        <w:jc w:val="both"/>
      </w:pPr>
      <w:r>
        <w:t xml:space="preserve">                  hemp-derived tetrahydrocannabinol (THC) and</w:t>
      </w:r>
    </w:p>
    <w:p>
      <w:pPr>
        <w:jc w:val="both"/>
      </w:pPr>
      <w:r>
        <w:t xml:space="preserve">                  cannabidiol (CBD)</w:t>
      </w:r>
    </w:p>
    <w:p>
      <w:pPr>
        <w:jc w:val="both"/>
      </w:pPr>
      <w:r>
        <w:t>Distribution:    Retail stores in Minnesota and North Dakota</w:t>
      </w:r>
    </w:p>
    <w:p>
      <w:pPr>
        <w:jc w:val="both"/>
      </w:pPr>
      <w:r>
        <w:t>Manufacturing:   Subject's place of business, Bloomington, MN</w:t>
      </w:r>
    </w:p>
    <w:p>
      <w:pPr>
        <w:jc w:val="both"/>
      </w:pPr>
      <w:r>
        <w:t>The reporting party worked for the subject as COO under a verbal</w:t>
      </w:r>
    </w:p>
    <w:p>
      <w:pPr>
        <w:jc w:val="both"/>
      </w:pPr>
      <w:r>
        <w:t>agreement from December 2025 through August 2026. The reporting party resigned</w:t>
      </w:r>
    </w:p>
    <w:p>
      <w:pPr>
        <w:jc w:val="both"/>
      </w:pPr>
      <w:r>
        <w:t>in August 2026 following irreconcilable concerns about product</w:t>
      </w:r>
    </w:p>
    <w:p>
      <w:pPr>
        <w:jc w:val="both"/>
      </w:pPr>
      <w:r>
        <w:t>safety and labeling fraud. The reporting in this tip is based on</w:t>
      </w:r>
    </w:p>
    <w:p>
      <w:pPr>
        <w:jc w:val="both"/>
      </w:pPr>
      <w:r>
        <w:t>direct firsthand observation during the period of employment,</w:t>
      </w:r>
    </w:p>
    <w:p>
      <w:pPr>
        <w:jc w:val="both"/>
      </w:pPr>
      <w:r>
        <w:t>contemporaneous business records retained upon departure, and</w:t>
      </w:r>
    </w:p>
    <w:p>
      <w:pPr>
        <w:jc w:val="both"/>
      </w:pPr>
      <w:r>
        <w:t>text-message records retained from a personal phone.</w:t>
      </w:r>
    </w:p>
    <w:p>
      <w:pPr>
        <w:jc w:val="both"/>
      </w:pPr>
      <w:r>
        <w:t>The reporting party requests confidentiality and the opportunity</w:t>
      </w:r>
    </w:p>
    <w:p>
      <w:pPr>
        <w:jc w:val="both"/>
      </w:pPr>
      <w:r>
        <w:t>to be contacted via email below to arrange secure interview,</w:t>
      </w:r>
    </w:p>
    <w:p>
      <w:pPr>
        <w:jc w:val="both"/>
      </w:pPr>
      <w:r>
        <w:t>deposition, or testimony. The reporting party is not a party to</w:t>
      </w:r>
    </w:p>
    <w:p>
      <w:pPr>
        <w:jc w:val="both"/>
      </w:pPr>
      <w:r>
        <w:t>any pending civil litigation against the subject and has no</w:t>
      </w:r>
    </w:p>
    <w:p>
      <w:pPr>
        <w:jc w:val="both"/>
      </w:pPr>
      <w:r>
        <w:t>financial interest in any regulatory action arising from this</w:t>
      </w:r>
    </w:p>
    <w:p>
      <w:pPr>
        <w:jc w:val="both"/>
      </w:pPr>
      <w:r>
        <w:t>complaint.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2 — STATUTORY FRAMEWORK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The conduct described below implicates the following federal</w:t>
      </w:r>
    </w:p>
    <w:p>
      <w:pPr>
        <w:jc w:val="both"/>
      </w:pPr>
      <w:r>
        <w:t>authorities enforced by FDA:</w:t>
      </w:r>
    </w:p>
    <w:p>
      <w:pPr>
        <w:jc w:val="both"/>
      </w:pPr>
      <w:r>
        <w:t>A. 21 U.S.C. § 331(a) — Prohibited Acts</w:t>
      </w:r>
    </w:p>
    <w:p>
      <w:pPr>
        <w:jc w:val="both"/>
      </w:pPr>
      <w:r>
        <w:t xml:space="preserve">   Introduces or delivers for introduction into interstate commerce</w:t>
      </w:r>
    </w:p>
    <w:p>
      <w:pPr>
        <w:jc w:val="both"/>
      </w:pPr>
      <w:r>
        <w:t xml:space="preserve">   any food, drug, device, tobacco product, or cosmetic that is</w:t>
      </w:r>
    </w:p>
    <w:p>
      <w:pPr>
        <w:jc w:val="both"/>
      </w:pPr>
      <w:r>
        <w:t xml:space="preserve">   adulterated or misbranded.</w:t>
      </w:r>
    </w:p>
    <w:p>
      <w:pPr>
        <w:jc w:val="both"/>
      </w:pPr>
      <w:r>
        <w:t>B. 21 U.S.C. § 343 — Misbranded Food</w:t>
      </w:r>
    </w:p>
    <w:p>
      <w:pPr>
        <w:jc w:val="both"/>
      </w:pPr>
      <w:r>
        <w:t xml:space="preserve">   A food shall be deemed misbranded if:</w:t>
      </w:r>
    </w:p>
    <w:p>
      <w:pPr>
        <w:jc w:val="both"/>
      </w:pPr>
      <w:r>
        <w:t xml:space="preserve">   (a) Its labeling is false or misleading in any particular</w:t>
      </w:r>
    </w:p>
    <w:p>
      <w:pPr>
        <w:jc w:val="both"/>
      </w:pPr>
      <w:r>
        <w:t xml:space="preserve">   (i) If it is offered for sale under the name of another food</w:t>
      </w:r>
    </w:p>
    <w:p>
      <w:pPr>
        <w:jc w:val="both"/>
      </w:pPr>
      <w:r>
        <w:t xml:space="preserve">   (a)(2) If it is fabricated from two or more ingredients, and</w:t>
      </w:r>
    </w:p>
    <w:p>
      <w:pPr>
        <w:jc w:val="both"/>
      </w:pPr>
      <w:r>
        <w:t xml:space="preserve">        the label does not adequately disclose each ingredient</w:t>
      </w:r>
    </w:p>
    <w:p>
      <w:pPr>
        <w:jc w:val="both"/>
      </w:pPr>
      <w:r>
        <w:t>C. 21 U.S.C. § 342 — Adulterated Food</w:t>
      </w:r>
    </w:p>
    <w:p>
      <w:pPr>
        <w:jc w:val="both"/>
      </w:pPr>
      <w:r>
        <w:t xml:space="preserve">   A food shall be deemed adulterated if it has been prepared,</w:t>
      </w:r>
    </w:p>
    <w:p>
      <w:pPr>
        <w:jc w:val="both"/>
      </w:pPr>
      <w:r>
        <w:t xml:space="preserve">   packed, or held under insanitary conditions whereby it may have</w:t>
      </w:r>
    </w:p>
    <w:p>
      <w:pPr>
        <w:jc w:val="both"/>
      </w:pPr>
      <w:r>
        <w:t xml:space="preserve">   become contaminated with filth, or whereby it may have been</w:t>
      </w:r>
    </w:p>
    <w:p>
      <w:pPr>
        <w:jc w:val="both"/>
      </w:pPr>
      <w:r>
        <w:t xml:space="preserve">   rendered injurious to health.</w:t>
      </w:r>
    </w:p>
    <w:p>
      <w:pPr>
        <w:jc w:val="both"/>
      </w:pPr>
      <w:r>
        <w:t>D. 21 U.S.C. § 355 — New Drug / Unapproved Drug</w:t>
      </w:r>
    </w:p>
    <w:p>
      <w:pPr>
        <w:jc w:val="both"/>
      </w:pPr>
      <w:r>
        <w:t xml:space="preserve">   A drug shall be deemed unsafe and subject to FDA enforcement</w:t>
      </w:r>
    </w:p>
    <w:p>
      <w:pPr>
        <w:jc w:val="both"/>
      </w:pPr>
      <w:r>
        <w:t xml:space="preserve">   unless an approved application is in effect.</w:t>
      </w:r>
    </w:p>
    <w:p>
      <w:pPr>
        <w:jc w:val="both"/>
      </w:pPr>
      <w:r>
        <w:t>E. 21 C.F.R. Part 117 — Current Good Manufacturing Practice, Hazard</w:t>
      </w:r>
    </w:p>
    <w:p>
      <w:pPr>
        <w:jc w:val="both"/>
      </w:pPr>
      <w:r>
        <w:t xml:space="preserve">   Analysis, and Risk-Based Preventive Controls for Human Food</w:t>
      </w:r>
    </w:p>
    <w:p>
      <w:pPr>
        <w:jc w:val="both"/>
      </w:pPr>
      <w:r>
        <w:t xml:space="preserve">   Establishes mandatory sanitation, personnel hygiene, facility</w:t>
      </w:r>
    </w:p>
    <w:p>
      <w:pPr>
        <w:jc w:val="both"/>
      </w:pPr>
      <w:r>
        <w:t xml:space="preserve">   design, equipment, and process-control requirements for all</w:t>
      </w:r>
    </w:p>
    <w:p>
      <w:pPr>
        <w:jc w:val="both"/>
      </w:pPr>
      <w:r>
        <w:t xml:space="preserve">   domestic and imported food manufacturers.</w:t>
      </w:r>
    </w:p>
    <w:p>
      <w:pPr>
        <w:jc w:val="both"/>
      </w:pPr>
      <w:r>
        <w:t>F. 21 C.F.R. Part 111 — Current Good Manufacturing Practice for</w:t>
      </w:r>
    </w:p>
    <w:p>
      <w:pPr>
        <w:jc w:val="both"/>
      </w:pPr>
      <w:r>
        <w:t xml:space="preserve">   Dietary Supplements</w:t>
      </w:r>
    </w:p>
    <w:p>
      <w:pPr>
        <w:jc w:val="both"/>
      </w:pPr>
      <w:r>
        <w:t xml:space="preserve">   Establishes mandatory identity, purity, strength, composition,</w:t>
      </w:r>
    </w:p>
    <w:p>
      <w:pPr>
        <w:jc w:val="both"/>
      </w:pPr>
      <w:r>
        <w:t xml:space="preserve">   and CGMP requirements for finished dietary supplements.</w:t>
      </w:r>
    </w:p>
    <w:p>
      <w:pPr>
        <w:jc w:val="both"/>
      </w:pPr>
      <w:r>
        <w:t>G. 18 U.S.C. § 1001 — False Statements</w:t>
      </w:r>
    </w:p>
    <w:p>
      <w:pPr>
        <w:jc w:val="both"/>
      </w:pPr>
      <w:r>
        <w:t xml:space="preserve">   False statements in matters within the jurisdiction of the</w:t>
      </w:r>
    </w:p>
    <w:p>
      <w:pPr>
        <w:jc w:val="both"/>
      </w:pPr>
      <w:r>
        <w:t xml:space="preserve">   federal government.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3 — ALLEGATION A-01: INTERSTATE PRODUCT SUBSTITUTION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SUMMARY: Gummies formulated for the Minnesota market under</w:t>
      </w:r>
    </w:p>
    <w:p>
      <w:pPr>
        <w:jc w:val="both"/>
      </w:pPr>
      <w:r>
        <w:t>Minnesota's regulatory framework (containing 0 mg CBD per serving)</w:t>
      </w:r>
    </w:p>
    <w:p>
      <w:pPr>
        <w:jc w:val="both"/>
      </w:pPr>
      <w:r>
        <w:t>were repackaged into bags labeled for North Dakota retail</w:t>
      </w:r>
    </w:p>
    <w:p>
      <w:pPr>
        <w:jc w:val="both"/>
      </w:pPr>
      <w:r>
        <w:t>distribution claiming 75 mg CBD per serving. Consumers in North</w:t>
      </w:r>
    </w:p>
    <w:p>
      <w:pPr>
        <w:jc w:val="both"/>
      </w:pPr>
      <w:r>
        <w:t>Dakota purchased product represented to them as containing</w:t>
      </w:r>
    </w:p>
    <w:p>
      <w:pPr>
        <w:jc w:val="both"/>
      </w:pPr>
      <w:r>
        <w:t>cannabidiol (CBD) when, according to batch records available to</w:t>
      </w:r>
    </w:p>
    <w:p>
      <w:pPr>
        <w:jc w:val="both"/>
      </w:pPr>
      <w:r>
        <w:t>me, the substituted product contained no active CBD ingredient.</w:t>
      </w:r>
    </w:p>
    <w:p>
      <w:pPr>
        <w:jc w:val="both"/>
      </w:pPr>
      <w:r>
        <w:t>EVIDENCE:</w:t>
      </w:r>
    </w:p>
    <w:p>
      <w:pPr>
        <w:pStyle w:val="ListBullet"/>
      </w:pPr>
      <w:r>
        <w:t>Batch production records retained from employment showing</w:t>
      </w:r>
    </w:p>
    <w:p>
      <w:pPr>
        <w:jc w:val="both"/>
      </w:pPr>
      <w:r>
        <w:t xml:space="preserve">  Minnesota-formulated product tagged with 0 mg CBD concentration</w:t>
      </w:r>
    </w:p>
    <w:p>
      <w:pPr>
        <w:pStyle w:val="ListBullet"/>
      </w:pPr>
      <w:r>
        <w:t>North Dakota packaging samples and packaging specification sheets</w:t>
      </w:r>
    </w:p>
    <w:p>
      <w:pPr>
        <w:jc w:val="both"/>
      </w:pPr>
      <w:r>
        <w:t xml:space="preserve">  declaring 75 mg CBD per serving</w:t>
      </w:r>
    </w:p>
    <w:p>
      <w:pPr>
        <w:pStyle w:val="ListBullet"/>
      </w:pPr>
      <w:r>
        <w:t>Photographs of Minnesota product being repackaged into North</w:t>
      </w:r>
    </w:p>
    <w:p>
      <w:pPr>
        <w:jc w:val="both"/>
      </w:pPr>
      <w:r>
        <w:t xml:space="preserve">  Dakota-branded bags</w:t>
      </w:r>
    </w:p>
    <w:p>
      <w:pPr>
        <w:pStyle w:val="ListBullet"/>
      </w:pPr>
      <w:r>
        <w:t>Contemporaneous text-message exchanges in which the subject</w:t>
      </w:r>
    </w:p>
    <w:p>
      <w:pPr>
        <w:jc w:val="both"/>
      </w:pPr>
      <w:r>
        <w:t xml:space="preserve">  directed the repackaging and acknowledged the substitution</w:t>
      </w:r>
    </w:p>
    <w:p>
      <w:pPr>
        <w:jc w:val="both"/>
      </w:pPr>
      <w:r>
        <w:t>STATUTORY VIOLATIONS:</w:t>
      </w:r>
    </w:p>
    <w:p>
      <w:pPr>
        <w:pStyle w:val="ListBullet"/>
      </w:pPr>
      <w:r>
        <w:t>21 U.S.C. § 343(a) — Misbranded: label falsely claims 75 mg CBD</w:t>
      </w:r>
    </w:p>
    <w:p>
      <w:pPr>
        <w:jc w:val="both"/>
      </w:pPr>
      <w:r>
        <w:t xml:space="preserve">  when product contains 0 mg CBD</w:t>
      </w:r>
    </w:p>
    <w:p>
      <w:pPr>
        <w:pStyle w:val="ListBullet"/>
      </w:pPr>
      <w:r>
        <w:t>21 U.S.C. § 343(i) — Misbranded: product offered under name of</w:t>
      </w:r>
    </w:p>
    <w:p>
      <w:pPr>
        <w:jc w:val="both"/>
      </w:pPr>
      <w:r>
        <w:t xml:space="preserve">  another product</w:t>
      </w:r>
    </w:p>
    <w:p>
      <w:pPr>
        <w:pStyle w:val="ListBullet"/>
      </w:pPr>
      <w:r>
        <w:t>21 U.S.C. § 331(a) — Prohibited act: introduction of misbranded</w:t>
      </w:r>
    </w:p>
    <w:p>
      <w:pPr>
        <w:jc w:val="both"/>
      </w:pPr>
      <w:r>
        <w:t xml:space="preserve">  food into interstate commerce (Minnesota to North Dakota)</w:t>
      </w:r>
    </w:p>
    <w:p>
      <w:pPr>
        <w:jc w:val="both"/>
      </w:pPr>
      <w:r>
        <w:t>INTERSTATE COMMERCE: This allegation crosses state lines. The</w:t>
      </w:r>
    </w:p>
    <w:p>
      <w:pPr>
        <w:jc w:val="both"/>
      </w:pPr>
      <w:r>
        <w:t>Minnesota-formulated product was manufactured in Minnesota and</w:t>
      </w:r>
    </w:p>
    <w:p>
      <w:pPr>
        <w:jc w:val="both"/>
      </w:pPr>
      <w:r>
        <w:t>shipped to North Dakota retail customers under false labeling. FDA</w:t>
      </w:r>
    </w:p>
    <w:p>
      <w:pPr>
        <w:jc w:val="both"/>
      </w:pPr>
      <w:r>
        <w:t>jurisdiction over this conduct is established under the Federal</w:t>
      </w:r>
    </w:p>
    <w:p>
      <w:pPr>
        <w:jc w:val="both"/>
      </w:pPr>
      <w:r>
        <w:t>Food, Drug, and Cosmetic Act.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4 — ALLEGATION A-02: CERTIFICATE OF ANALYSIS (COA) FRAUD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SUMMARY: Certificates of Analysis — the primary regulatory</w:t>
      </w:r>
    </w:p>
    <w:p>
      <w:pPr>
        <w:jc w:val="both"/>
      </w:pPr>
      <w:r>
        <w:t>compliance documents that retailers, regulators, and consumers</w:t>
      </w:r>
    </w:p>
    <w:p>
      <w:pPr>
        <w:jc w:val="both"/>
      </w:pPr>
      <w:r>
        <w:t>rely upon to verify product safety and content — were systematically</w:t>
      </w:r>
    </w:p>
    <w:p>
      <w:pPr>
        <w:jc w:val="both"/>
      </w:pPr>
      <w:r>
        <w:t>falsified, duplicated, or omitted across multiple production lots.</w:t>
      </w:r>
    </w:p>
    <w:p>
      <w:pPr>
        <w:jc w:val="both"/>
      </w:pPr>
      <w:r>
        <w:t>OBSERVED IRREGULARITIES:</w:t>
      </w:r>
    </w:p>
    <w:p>
      <w:pPr>
        <w:jc w:val="both"/>
      </w:pPr>
      <w:r>
        <w:t>(a) Outdated COAs applied to current production lots. A COA from</w:t>
      </w:r>
    </w:p>
    <w:p>
      <w:pPr>
        <w:jc w:val="both"/>
      </w:pPr>
      <w:r>
        <w:t xml:space="preserve">    an earlier batch was retained and reused as the certificate</w:t>
      </w:r>
    </w:p>
    <w:p>
      <w:pPr>
        <w:jc w:val="both"/>
      </w:pPr>
      <w:r>
        <w:t xml:space="preserve">    for a different, more recent batch that had not been tested.</w:t>
      </w:r>
    </w:p>
    <w:p>
      <w:pPr>
        <w:jc w:val="both"/>
      </w:pPr>
      <w:r>
        <w:t>(b) COAs from one lot duplicated and re-assigned to a different</w:t>
      </w:r>
    </w:p>
    <w:p>
      <w:pPr>
        <w:jc w:val="both"/>
      </w:pPr>
      <w:r>
        <w:t xml:space="preserve">    product. The same COA document appeared in two product lines</w:t>
      </w:r>
    </w:p>
    <w:p>
      <w:pPr>
        <w:jc w:val="both"/>
      </w:pPr>
      <w:r>
        <w:t xml:space="preserve">    with only the product name altered.</w:t>
      </w:r>
    </w:p>
    <w:p>
      <w:pPr>
        <w:jc w:val="both"/>
      </w:pPr>
      <w:r>
        <w:t>(c) COAs adjusted to show "passing" result values. Numerical</w:t>
      </w:r>
    </w:p>
    <w:p>
      <w:pPr>
        <w:jc w:val="both"/>
      </w:pPr>
      <w:r>
        <w:t xml:space="preserve">    results in the COAs did not match the underlying third-party</w:t>
      </w:r>
    </w:p>
    <w:p>
      <w:pPr>
        <w:jc w:val="both"/>
      </w:pPr>
      <w:r>
        <w:t xml:space="preserve">    laboratory reports.</w:t>
      </w:r>
    </w:p>
    <w:p>
      <w:pPr>
        <w:jc w:val="both"/>
      </w:pPr>
      <w:r>
        <w:t>(d) COAs missing entirely for certain products actively sold at</w:t>
      </w:r>
    </w:p>
    <w:p>
      <w:pPr>
        <w:jc w:val="both"/>
      </w:pPr>
      <w:r>
        <w:t xml:space="preserve">    retail. Multiple lots reached retail shelves without any</w:t>
      </w:r>
    </w:p>
    <w:p>
      <w:pPr>
        <w:jc w:val="both"/>
      </w:pPr>
      <w:r>
        <w:t xml:space="preserve">    certificate of analysis on file.</w:t>
      </w:r>
    </w:p>
    <w:p>
      <w:pPr>
        <w:jc w:val="both"/>
      </w:pPr>
      <w:r>
        <w:t>EVIDENCE:</w:t>
      </w:r>
    </w:p>
    <w:p>
      <w:pPr>
        <w:pStyle w:val="ListBullet"/>
      </w:pPr>
      <w:r>
        <w:t>Side-by-side comparison of COA documents showing duplicate lot</w:t>
      </w:r>
    </w:p>
    <w:p>
      <w:pPr>
        <w:jc w:val="both"/>
      </w:pPr>
      <w:r>
        <w:t xml:space="preserve">  numbers across different products</w:t>
      </w:r>
    </w:p>
    <w:p>
      <w:pPr>
        <w:pStyle w:val="ListBullet"/>
      </w:pPr>
      <w:r>
        <w:t>Original third-party laboratory reports showing actual test</w:t>
      </w:r>
    </w:p>
    <w:p>
      <w:pPr>
        <w:jc w:val="both"/>
      </w:pPr>
      <w:r>
        <w:t xml:space="preserve">  results, contrasted with the altered COAs distributed to retailers</w:t>
      </w:r>
    </w:p>
    <w:p>
      <w:pPr>
        <w:pStyle w:val="ListBullet"/>
      </w:pPr>
      <w:r>
        <w:t>Production records showing lot numbers with no corresponding</w:t>
      </w:r>
    </w:p>
    <w:p>
      <w:pPr>
        <w:jc w:val="both"/>
      </w:pPr>
      <w:r>
        <w:t xml:space="preserve">  COA on file</w:t>
      </w:r>
    </w:p>
    <w:p>
      <w:pPr>
        <w:jc w:val="both"/>
      </w:pPr>
      <w:r>
        <w:t>STATUTORY VIOLATIONS:</w:t>
      </w:r>
    </w:p>
    <w:p>
      <w:pPr>
        <w:pStyle w:val="ListBullet"/>
      </w:pPr>
      <w:r>
        <w:t>21 C.F.R. Part 111 — CGMP for Dietary Supplements: requires</w:t>
      </w:r>
    </w:p>
    <w:p>
      <w:pPr>
        <w:jc w:val="both"/>
      </w:pPr>
      <w:r>
        <w:t xml:space="preserve">  finished product testing and accurate COAs</w:t>
      </w:r>
    </w:p>
    <w:p>
      <w:pPr>
        <w:pStyle w:val="ListBullet"/>
      </w:pPr>
      <w:r>
        <w:t>21 C.F.R. Part 117 — CGMP for Human Food: requires accurate</w:t>
      </w:r>
    </w:p>
    <w:p>
      <w:pPr>
        <w:jc w:val="both"/>
      </w:pPr>
      <w:r>
        <w:t xml:space="preserve">  records and product traceability</w:t>
      </w:r>
    </w:p>
    <w:p>
      <w:pPr>
        <w:pStyle w:val="ListBullet"/>
      </w:pPr>
      <w:r>
        <w:t>21 U.S.C. § 343 — Misbranded: false test results constitute</w:t>
      </w:r>
    </w:p>
    <w:p>
      <w:pPr>
        <w:jc w:val="both"/>
      </w:pPr>
      <w:r>
        <w:t xml:space="preserve">  false labeling</w:t>
      </w:r>
    </w:p>
    <w:p>
      <w:pPr>
        <w:jc w:val="both"/>
      </w:pPr>
      <w:r>
        <w:t>HEALTH IMPACT: COAs are the primary safeguard preventing</w:t>
      </w:r>
    </w:p>
    <w:p>
      <w:pPr>
        <w:jc w:val="both"/>
      </w:pPr>
      <w:r>
        <w:t>contaminated or mislabeled product from reaching consumers. The</w:t>
      </w:r>
    </w:p>
    <w:p>
      <w:pPr>
        <w:jc w:val="both"/>
      </w:pPr>
      <w:r>
        <w:t>systematic falsification of COAs removes that safeguard entirely.</w:t>
      </w:r>
    </w:p>
    <w:p>
      <w:pPr>
        <w:jc w:val="both"/>
      </w:pPr>
      <w:r>
        <w:t>Consumers have no way to independently verify the safety or</w:t>
      </w:r>
    </w:p>
    <w:p>
      <w:pPr>
        <w:jc w:val="both"/>
      </w:pPr>
      <w:r>
        <w:t>content of products they ingest.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5 — ALLEGATION A-03: INSANITARY MANUFACTURING CONDITIONS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SUMMARY: Edible consumer products labeled as dietary supplements</w:t>
      </w:r>
    </w:p>
    <w:p>
      <w:pPr>
        <w:jc w:val="both"/>
      </w:pPr>
      <w:r>
        <w:t>and containing controlled substances (THC/CBD) were hand-packaged</w:t>
      </w:r>
    </w:p>
    <w:p>
      <w:pPr>
        <w:jc w:val="both"/>
      </w:pPr>
      <w:r>
        <w:t>and heat-sealed at the subject's place of business. The workspace</w:t>
      </w:r>
    </w:p>
    <w:p>
      <w:pPr>
        <w:jc w:val="both"/>
      </w:pPr>
      <w:r>
        <w:t>is a commercial office suite that does not meet minimum federal</w:t>
      </w:r>
    </w:p>
    <w:p>
      <w:pPr>
        <w:jc w:val="both"/>
      </w:pPr>
      <w:r>
        <w:t>sanitation requirements for food or dietary supplement</w:t>
      </w:r>
    </w:p>
    <w:p>
      <w:pPr>
        <w:jc w:val="both"/>
      </w:pPr>
      <w:r>
        <w:t>manufacturing.</w:t>
      </w:r>
    </w:p>
    <w:p>
      <w:pPr>
        <w:jc w:val="both"/>
      </w:pPr>
      <w:r>
        <w:t>OBSERVED CONDITIONS:</w:t>
      </w:r>
    </w:p>
    <w:p>
      <w:pPr>
        <w:pStyle w:val="ListBullet"/>
      </w:pPr>
      <w:r>
        <w:t>No utility sink for hand washing</w:t>
      </w:r>
    </w:p>
    <w:p>
      <w:pPr>
        <w:pStyle w:val="ListBullet"/>
      </w:pPr>
      <w:r>
        <w:t>No dedicated hand-washing station with soap or sanitizer</w:t>
      </w:r>
    </w:p>
    <w:p>
      <w:pPr>
        <w:pStyle w:val="ListBullet"/>
      </w:pPr>
      <w:r>
        <w:t>No gloves worn by personnel during packing</w:t>
      </w:r>
    </w:p>
    <w:p>
      <w:pPr>
        <w:pStyle w:val="ListBullet"/>
      </w:pPr>
      <w:r>
        <w:t>No hair or beard coverings worn by personnel</w:t>
      </w:r>
    </w:p>
    <w:p>
      <w:pPr>
        <w:pStyle w:val="ListBullet"/>
      </w:pPr>
      <w:r>
        <w:t>No food-grade work surfaces (packing performed on standard</w:t>
      </w:r>
    </w:p>
    <w:p>
      <w:pPr>
        <w:jc w:val="both"/>
      </w:pPr>
      <w:r>
        <w:t xml:space="preserve">  office furniture)</w:t>
      </w:r>
    </w:p>
    <w:p>
      <w:pPr>
        <w:pStyle w:val="ListBullet"/>
      </w:pPr>
      <w:r>
        <w:t>No documented sanitation logs of any kind</w:t>
      </w:r>
    </w:p>
    <w:p>
      <w:pPr>
        <w:pStyle w:val="ListBullet"/>
      </w:pPr>
      <w:r>
        <w:t>No pest control program</w:t>
      </w:r>
    </w:p>
    <w:p>
      <w:pPr>
        <w:pStyle w:val="ListBullet"/>
      </w:pPr>
      <w:r>
        <w:t>No temperature or humidity controls in the packing area</w:t>
      </w:r>
    </w:p>
    <w:p>
      <w:pPr>
        <w:pStyle w:val="ListBullet"/>
      </w:pPr>
      <w:r>
        <w:t>No segregation between food-contact surfaces and non-food-contact</w:t>
      </w:r>
    </w:p>
    <w:p>
      <w:pPr>
        <w:jc w:val="both"/>
      </w:pPr>
      <w:r>
        <w:t xml:space="preserve">  surfaces</w:t>
      </w:r>
    </w:p>
    <w:p>
      <w:pPr>
        <w:jc w:val="both"/>
      </w:pPr>
      <w:r>
        <w:t>CONTEXT: The subject's place of business is a commercial office</w:t>
      </w:r>
    </w:p>
    <w:p>
      <w:pPr>
        <w:jc w:val="both"/>
      </w:pPr>
      <w:r>
        <w:t>suite in a Bloomington, MN office park. The unit is configured as</w:t>
      </w:r>
    </w:p>
    <w:p>
      <w:pPr>
        <w:jc w:val="both"/>
      </w:pPr>
      <w:r>
        <w:t>standard office space (carpeted floors, drop ceilings, residential-</w:t>
      </w:r>
    </w:p>
    <w:p>
      <w:pPr>
        <w:jc w:val="both"/>
      </w:pPr>
      <w:r>
        <w:t>grade plumbing) and is not designed or equipped for food or</w:t>
      </w:r>
    </w:p>
    <w:p>
      <w:pPr>
        <w:jc w:val="both"/>
      </w:pPr>
      <w:r>
        <w:t>dietary supplement manufacturing.</w:t>
      </w:r>
    </w:p>
    <w:p>
      <w:pPr>
        <w:jc w:val="both"/>
      </w:pPr>
      <w:r>
        <w:t>EVIDENCE:</w:t>
      </w:r>
    </w:p>
    <w:p>
      <w:pPr>
        <w:pStyle w:val="ListBullet"/>
      </w:pPr>
      <w:r>
        <w:t>Photographic evidence of the workspace with preserved EXIF</w:t>
      </w:r>
    </w:p>
    <w:p>
      <w:pPr>
        <w:jc w:val="both"/>
      </w:pPr>
      <w:r>
        <w:t xml:space="preserve">  metadata and SHA-256 cryptographic hashes</w:t>
      </w:r>
    </w:p>
    <w:p>
      <w:pPr>
        <w:pStyle w:val="ListBullet"/>
      </w:pPr>
      <w:r>
        <w:t>Video evidence of the packing process with preserved metadata</w:t>
      </w:r>
    </w:p>
    <w:p>
      <w:pPr>
        <w:jc w:val="both"/>
      </w:pPr>
      <w:r>
        <w:t xml:space="preserve">  and SHA-256 hashes</w:t>
      </w:r>
    </w:p>
    <w:p>
      <w:pPr>
        <w:pStyle w:val="ListBullet"/>
      </w:pPr>
      <w:r>
        <w:t>Photographs showing the absence of food-grade equipment,</w:t>
      </w:r>
    </w:p>
    <w:p>
      <w:pPr>
        <w:jc w:val="both"/>
      </w:pPr>
      <w:r>
        <w:t xml:space="preserve">  sanitation stations, and protective clothing</w:t>
      </w:r>
    </w:p>
    <w:p>
      <w:pPr>
        <w:pStyle w:val="ListBullet"/>
      </w:pPr>
      <w:r>
        <w:t>Personal observations of unsanitary conditions over multiple</w:t>
      </w:r>
    </w:p>
    <w:p>
      <w:pPr>
        <w:jc w:val="both"/>
      </w:pPr>
      <w:r>
        <w:t xml:space="preserve">  months of employment</w:t>
      </w:r>
    </w:p>
    <w:p>
      <w:pPr>
        <w:jc w:val="both"/>
      </w:pPr>
      <w:r>
        <w:t>STATUTORY VIOLATIONS:</w:t>
      </w:r>
    </w:p>
    <w:p>
      <w:pPr>
        <w:pStyle w:val="ListBullet"/>
      </w:pPr>
      <w:r>
        <w:t>21 U.S.C. § 342(a)(4) — Adulterated: prepared under insanitary</w:t>
      </w:r>
    </w:p>
    <w:p>
      <w:pPr>
        <w:jc w:val="both"/>
      </w:pPr>
      <w:r>
        <w:t xml:space="preserve">  conditions whereby it may have become contaminated with filth</w:t>
      </w:r>
    </w:p>
    <w:p>
      <w:pPr>
        <w:pStyle w:val="ListBullet"/>
      </w:pPr>
      <w:r>
        <w:t>21 C.F.R. Part 117, Subpart B — Current Good Manufacturing</w:t>
      </w:r>
    </w:p>
    <w:p>
      <w:pPr>
        <w:jc w:val="both"/>
      </w:pPr>
      <w:r>
        <w:t xml:space="preserve">  Practice: personnel, plant and grounds, sanitation requirements</w:t>
      </w:r>
    </w:p>
    <w:p>
      <w:pPr>
        <w:pStyle w:val="ListBullet"/>
      </w:pPr>
      <w:r>
        <w:t>21 C.F.R. Part 111, Subparts B and E — CGMP for Dietary</w:t>
      </w:r>
    </w:p>
    <w:p>
      <w:pPr>
        <w:jc w:val="both"/>
      </w:pPr>
      <w:r>
        <w:t xml:space="preserve">  Supplements: personnel qualifications, sanitation, facility</w:t>
      </w:r>
    </w:p>
    <w:p>
      <w:pPr>
        <w:jc w:val="both"/>
      </w:pPr>
      <w:r>
        <w:t xml:space="preserve">  requirements</w:t>
      </w:r>
    </w:p>
    <w:p>
      <w:pPr>
        <w:jc w:val="both"/>
      </w:pPr>
      <w:r>
        <w:t>HEALTH IMPACT: Consumers ingesting products manufactured under</w:t>
      </w:r>
    </w:p>
    <w:p>
      <w:pPr>
        <w:jc w:val="both"/>
      </w:pPr>
      <w:r>
        <w:t>these conditions face increased risk of microbial contamination</w:t>
      </w:r>
    </w:p>
    <w:p>
      <w:pPr>
        <w:jc w:val="both"/>
      </w:pPr>
      <w:r>
        <w:t>(Listeria, Salmonella, E. coli), foreign-object contamination, and</w:t>
      </w:r>
    </w:p>
    <w:p>
      <w:pPr>
        <w:jc w:val="both"/>
      </w:pPr>
      <w:r>
        <w:t>allergen cross-contact. For products containing THC/CBD, where</w:t>
      </w:r>
    </w:p>
    <w:p>
      <w:pPr>
        <w:jc w:val="both"/>
      </w:pPr>
      <w:r>
        <w:t>many consumers are immunocompromised, elderly, or pediatric, the</w:t>
      </w:r>
    </w:p>
    <w:p>
      <w:pPr>
        <w:jc w:val="both"/>
      </w:pPr>
      <w:r>
        <w:t>risk of serious adverse health consequences is substantially</w:t>
      </w:r>
    </w:p>
    <w:p>
      <w:pPr>
        <w:jc w:val="both"/>
      </w:pPr>
      <w:r>
        <w:t>elevated.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6 — ALLEGATION A-04: MISBRANDED CONTROLLED SUBSTANCES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SUMMARY: Products containing THC (a Schedule I controlled substance</w:t>
      </w:r>
    </w:p>
    <w:p>
      <w:pPr>
        <w:jc w:val="both"/>
      </w:pPr>
      <w:r>
        <w:t>under Minnesota's adult-use cannabis program) were distributed</w:t>
      </w:r>
    </w:p>
    <w:p>
      <w:pPr>
        <w:jc w:val="both"/>
      </w:pPr>
      <w:r>
        <w:t>without the regulatory disclosures required for adult-use cannabis</w:t>
      </w:r>
    </w:p>
    <w:p>
      <w:pPr>
        <w:jc w:val="both"/>
      </w:pPr>
      <w:r>
        <w:t>products in Minnesota.</w:t>
      </w:r>
    </w:p>
    <w:p>
      <w:pPr>
        <w:jc w:val="both"/>
      </w:pPr>
      <w:r>
        <w:t>OBSERVED PRACTICES:</w:t>
      </w:r>
    </w:p>
    <w:p>
      <w:pPr>
        <w:pStyle w:val="ListBullet"/>
      </w:pPr>
      <w:r>
        <w:t>Product listings for the Minnesota market omitted required</w:t>
      </w:r>
    </w:p>
    <w:p>
      <w:pPr>
        <w:jc w:val="both"/>
      </w:pPr>
      <w:r>
        <w:t xml:space="preserve">  allergen, ingredient, and potency disclosures</w:t>
      </w:r>
    </w:p>
    <w:p>
      <w:pPr>
        <w:pStyle w:val="ListBullet"/>
      </w:pPr>
      <w:r>
        <w:t>THC content per serving was not consistently disclosed on</w:t>
      </w:r>
    </w:p>
    <w:p>
      <w:pPr>
        <w:jc w:val="both"/>
      </w:pPr>
      <w:r>
        <w:t xml:space="preserve">  packaging</w:t>
      </w:r>
    </w:p>
    <w:p>
      <w:pPr>
        <w:pStyle w:val="ListBullet"/>
      </w:pPr>
      <w:r>
        <w:t>Product labels did not include the required Minnesota Office of</w:t>
      </w:r>
    </w:p>
    <w:p>
      <w:pPr>
        <w:jc w:val="both"/>
      </w:pPr>
      <w:r>
        <w:t xml:space="preserve">  Cannabis Management registration or compliance marks</w:t>
      </w:r>
    </w:p>
    <w:p>
      <w:pPr>
        <w:pStyle w:val="ListBullet"/>
      </w:pPr>
      <w:r>
        <w:t>Products were distributed through non-cannabis-licensed retail</w:t>
      </w:r>
    </w:p>
    <w:p>
      <w:pPr>
        <w:jc w:val="both"/>
      </w:pPr>
      <w:r>
        <w:t xml:space="preserve">  channels (smoke shops, convenience stores) without the</w:t>
      </w:r>
    </w:p>
    <w:p>
      <w:pPr>
        <w:jc w:val="both"/>
      </w:pPr>
      <w:r>
        <w:t xml:space="preserve">  documentation required for legal adult-use cannabis sales</w:t>
      </w:r>
    </w:p>
    <w:p>
      <w:pPr>
        <w:jc w:val="both"/>
      </w:pPr>
      <w:r>
        <w:t>EVIDENCE:</w:t>
      </w:r>
    </w:p>
    <w:p>
      <w:pPr>
        <w:pStyle w:val="ListBullet"/>
      </w:pPr>
      <w:r>
        <w:t>Packaging samples retained from employment</w:t>
      </w:r>
    </w:p>
    <w:p>
      <w:pPr>
        <w:pStyle w:val="ListBullet"/>
      </w:pPr>
      <w:r>
        <w:t>Product listings archived from the subject's online sales channels</w:t>
      </w:r>
    </w:p>
    <w:p>
      <w:pPr>
        <w:pStyle w:val="ListBullet"/>
      </w:pPr>
      <w:r>
        <w:t>Photographs of retail displays showing products without required</w:t>
      </w:r>
    </w:p>
    <w:p>
      <w:pPr>
        <w:jc w:val="both"/>
      </w:pPr>
      <w:r>
        <w:t xml:space="preserve">  regulatory marks</w:t>
      </w:r>
    </w:p>
    <w:p>
      <w:pPr>
        <w:jc w:val="both"/>
      </w:pPr>
      <w:r>
        <w:t>STATUTORY VIOLATIONS:</w:t>
      </w:r>
    </w:p>
    <w:p>
      <w:pPr>
        <w:pStyle w:val="ListBullet"/>
      </w:pPr>
      <w:r>
        <w:t>21 U.S.C. § 343 — Misbranded: false and misleading labeling</w:t>
      </w:r>
    </w:p>
    <w:p>
      <w:pPr>
        <w:pStyle w:val="ListBullet"/>
      </w:pPr>
      <w:r>
        <w:t>Minnesota Statutes Chapter 342 — Adult-Use Cannabis (state</w:t>
      </w:r>
    </w:p>
    <w:p>
      <w:pPr>
        <w:jc w:val="both"/>
      </w:pPr>
      <w:r>
        <w:t xml:space="preserve">  requirement, federal interest for interstate commerce)</w:t>
      </w:r>
    </w:p>
    <w:p>
      <w:pPr>
        <w:pStyle w:val="ListBullet"/>
      </w:pPr>
      <w:r>
        <w:t>21 C.F.R. Part 117 — CGMP records requirements</w:t>
      </w:r>
    </w:p>
    <w:p>
      <w:pPr>
        <w:jc w:val="both"/>
      </w:pPr>
      <w:r>
        <w:t>INTERSTATE COMMERCE: Products crossing state lines (MN to ND)</w:t>
      </w:r>
    </w:p>
    <w:p>
      <w:pPr>
        <w:jc w:val="both"/>
      </w:pPr>
      <w:r>
        <w:t>under mislabeled packaging implicate federal jurisdiction under</w:t>
      </w:r>
    </w:p>
    <w:p>
      <w:pPr>
        <w:jc w:val="both"/>
      </w:pPr>
      <w:r>
        <w:t>the FD&amp;C Act regardless of state-level compliance.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7 — PARALLEL STATE AND FEDERAL FILINGS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The same underlying conduct has been reported to the following</w:t>
      </w:r>
    </w:p>
    <w:p>
      <w:pPr>
        <w:jc w:val="both"/>
      </w:pPr>
      <w:r>
        <w:t>agencies:</w:t>
      </w:r>
    </w:p>
    <w:p>
      <w:pPr>
        <w:pStyle w:val="ListBullet"/>
      </w:pPr>
      <w:r>
        <w:t>Blaine Police Department (Case 2618-0471) — death-threat report</w:t>
      </w:r>
    </w:p>
    <w:p>
      <w:pPr>
        <w:jc w:val="both"/>
      </w:pPr>
      <w:r>
        <w:t xml:space="preserve">  filed in retaliation for this consumer complaint</w:t>
      </w:r>
    </w:p>
    <w:p>
      <w:pPr>
        <w:pStyle w:val="ListBullet"/>
      </w:pPr>
      <w:r>
        <w:t>Minnesota Office of Cannabis Management — adult-use cannabis</w:t>
      </w:r>
    </w:p>
    <w:p>
      <w:pPr>
        <w:jc w:val="both"/>
      </w:pPr>
      <w:r>
        <w:t xml:space="preserve">  program violations</w:t>
      </w:r>
    </w:p>
    <w:p>
      <w:pPr>
        <w:pStyle w:val="ListBullet"/>
      </w:pPr>
      <w:r>
        <w:t>North Dakota Department of Agriculture (contact: John Mortenson)</w:t>
      </w:r>
    </w:p>
    <w:p>
      <w:pPr>
        <w:jc w:val="both"/>
      </w:pPr>
      <w:r>
        <w:t xml:space="preserve">  — misbranded hemp products crossing state lines</w:t>
      </w:r>
    </w:p>
    <w:p>
      <w:pPr>
        <w:pStyle w:val="ListBullet"/>
      </w:pPr>
      <w:r>
        <w:t>Minnesota Department of Health — public health concern</w:t>
      </w:r>
    </w:p>
    <w:p>
      <w:pPr>
        <w:jc w:val="both"/>
      </w:pPr>
      <w:r>
        <w:t>This complaint to FDA OCI is the federal filing for the same</w:t>
      </w:r>
    </w:p>
    <w:p>
      <w:pPr>
        <w:jc w:val="both"/>
      </w:pPr>
      <w:r>
        <w:t>underlying conduct. I respectfully request that FDA OCI coordinate</w:t>
      </w:r>
    </w:p>
    <w:p>
      <w:pPr>
        <w:jc w:val="both"/>
      </w:pPr>
      <w:r>
        <w:t>with these state agencies.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8 — RETALIATION EVIDENCE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On 2026-08-02, within hours of the public posting of consumer-</w:t>
      </w:r>
    </w:p>
    <w:p>
      <w:pPr>
        <w:jc w:val="both"/>
      </w:pPr>
      <w:r>
        <w:t>warning materials documenting the conduct described above, both</w:t>
      </w:r>
    </w:p>
    <w:p>
      <w:pPr>
        <w:jc w:val="both"/>
      </w:pPr>
      <w:r>
        <w:t>Evan Bosma and his spouse Bri Bosma contacted me with verbal</w:t>
      </w:r>
    </w:p>
    <w:p>
      <w:pPr>
        <w:jc w:val="both"/>
      </w:pPr>
      <w:r>
        <w:t>death threats. Bri Bosma called 11 times between 4:31 PM and 4:34 PM CST, leaving a 31-second voicemail in which Evan Bosma chimed in from the background stating</w:t>
      </w:r>
    </w:p>
    <w:p>
      <w:pPr>
        <w:jc w:val="both"/>
      </w:pPr>
      <w:r>
        <w:t>"I'm gonna fucking kill you, bitch" and demanding that I</w:t>
      </w:r>
    </w:p>
    <w:p>
      <w:pPr>
        <w:jc w:val="both"/>
      </w:pPr>
      <w:r>
        <w:t>"restore our fucking website before you go to fucking prison."</w:t>
      </w:r>
    </w:p>
    <w:p>
      <w:pPr>
        <w:jc w:val="both"/>
      </w:pPr>
      <w:r>
        <w:t>A police report was filed with the Blaine Police Department</w:t>
      </w:r>
    </w:p>
    <w:p>
      <w:pPr>
        <w:jc w:val="both"/>
      </w:pPr>
      <w:r>
        <w:t>under Case 2618-0471. The voicemail recording and screenshots of</w:t>
      </w:r>
    </w:p>
    <w:p>
      <w:pPr>
        <w:jc w:val="both"/>
      </w:pPr>
      <w:r>
        <w:t>the threat text are preserved with metadata intact and are</w:t>
      </w:r>
    </w:p>
    <w:p>
      <w:pPr>
        <w:jc w:val="both"/>
      </w:pPr>
      <w:r>
        <w:t>available to FDA OCI upon request.</w:t>
      </w:r>
    </w:p>
    <w:p>
      <w:pPr>
        <w:jc w:val="both"/>
      </w:pPr>
      <w:r>
        <w:t>This retaliation establishes:</w:t>
      </w:r>
    </w:p>
    <w:p>
      <w:pPr>
        <w:jc w:val="both"/>
      </w:pPr>
      <w:r>
        <w:t>(a) The subject's awareness of the consumer-protection complaint</w:t>
      </w:r>
    </w:p>
    <w:p>
      <w:pPr>
        <w:jc w:val="both"/>
      </w:pPr>
      <w:r>
        <w:t>(b) The subject's intent to suppress consumer-protection speech</w:t>
      </w:r>
    </w:p>
    <w:p>
      <w:pPr>
        <w:jc w:val="both"/>
      </w:pPr>
      <w:r>
        <w:t>(c) The continuing public-health risk posed by the conduct</w:t>
      </w:r>
    </w:p>
    <w:p>
      <w:pPr>
        <w:jc w:val="both"/>
      </w:pPr>
      <w:r>
        <w:t xml:space="preserve">    described above (subject remains in business)</w:t>
      </w:r>
    </w:p>
    <w:p>
      <w:pPr>
        <w:jc w:val="both"/>
      </w:pPr>
      <w:r>
        <w:t>(d) The credibility and good-faith basis of this FDA complaint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9 — EVIDENCE PRESERVATION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A complete evidence package is preserved at:</w:t>
      </w:r>
    </w:p>
    <w:p>
      <w:pPr>
        <w:jc w:val="both"/>
      </w:pPr>
      <w:r>
        <w:t>https://nutrionelements.com/evidence/evidence-package.zip</w:t>
      </w:r>
    </w:p>
    <w:p>
      <w:pPr>
        <w:jc w:val="both"/>
      </w:pPr>
      <w:r>
        <w:t>SHA-256: 944cd7b872b91cca55aeb166775c220cf978aff805a34538d1e12897444b2392</w:t>
      </w:r>
    </w:p>
    <w:p>
      <w:pPr>
        <w:jc w:val="both"/>
      </w:pPr>
      <w:r>
        <w:t>The package contains:</w:t>
      </w:r>
    </w:p>
    <w:p>
      <w:pPr>
        <w:pStyle w:val="ListBullet"/>
      </w:pPr>
      <w:r>
        <w:t>Original voicemail recording (.amr, 25,046 bytes, SHA-256 verified)</w:t>
      </w:r>
    </w:p>
    <w:p>
      <w:pPr>
        <w:pStyle w:val="ListBullet"/>
      </w:pPr>
      <w:r>
        <w:t>Two screenshots with preserved EXIF metadata</w:t>
      </w:r>
    </w:p>
    <w:p>
      <w:pPr>
        <w:pStyle w:val="ListBullet"/>
      </w:pPr>
      <w:r>
        <w:t>Complete incident report</w:t>
      </w:r>
    </w:p>
    <w:p>
      <w:pPr>
        <w:pStyle w:val="ListBullet"/>
      </w:pPr>
      <w:r>
        <w:t>Manifest with chain-of-custody hashes</w:t>
      </w:r>
    </w:p>
    <w:p>
      <w:pPr>
        <w:jc w:val="both"/>
      </w:pPr>
      <w:r>
        <w:t>Original documents including COAs, production records, packaging</w:t>
      </w:r>
    </w:p>
    <w:p>
      <w:pPr>
        <w:jc w:val="both"/>
      </w:pPr>
      <w:r>
        <w:t>samples, and text-message logs are preserved and available for</w:t>
      </w:r>
    </w:p>
    <w:p>
      <w:pPr>
        <w:jc w:val="both"/>
      </w:pPr>
      <w:r>
        <w:t>production to FDA OCI upon proper request. The Reporting Party's</w:t>
      </w:r>
    </w:p>
    <w:p>
      <w:pPr>
        <w:jc w:val="both"/>
      </w:pPr>
      <w:r>
        <w:t>mobile device is available for forensic examination.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10 — PRESUMPTION OF INNOCENCE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The Reporting Party acknowledges that all matters described in</w:t>
      </w:r>
    </w:p>
    <w:p>
      <w:pPr>
        <w:jc w:val="both"/>
      </w:pPr>
      <w:r>
        <w:t>this complaint are allegations. The subject retains the</w:t>
      </w:r>
    </w:p>
    <w:p>
      <w:pPr>
        <w:jc w:val="both"/>
      </w:pPr>
      <w:r>
        <w:t>presumption of innocence with respect to any adjudication by FDA</w:t>
      </w:r>
    </w:p>
    <w:p>
      <w:pPr>
        <w:jc w:val="both"/>
      </w:pPr>
      <w:r>
        <w:t>or any court of competent jurisdiction. The subject may respond</w:t>
      </w:r>
    </w:p>
    <w:p>
      <w:pPr>
        <w:jc w:val="both"/>
      </w:pPr>
      <w:r>
        <w:t>to the allegations through appropriate legal channels.</w:t>
      </w:r>
    </w:p>
    <w:p>
      <w:pPr>
        <w:jc w:val="both"/>
      </w:pPr>
      <w:r>
        <w:t>This complaint is submitted in good faith, based on direct</w:t>
      </w:r>
    </w:p>
    <w:p>
      <w:pPr>
        <w:jc w:val="both"/>
      </w:pPr>
      <w:r>
        <w:t>firsthand observation and contemporaneous business records, with</w:t>
      </w:r>
    </w:p>
    <w:p>
      <w:pPr>
        <w:jc w:val="both"/>
      </w:pPr>
      <w:r>
        <w:t>the intent of protecting public health and enabling FDA</w:t>
      </w:r>
    </w:p>
    <w:p>
      <w:pPr>
        <w:jc w:val="both"/>
      </w:pPr>
      <w:r>
        <w:t>discharge of its statutory duties under the Federal Food, Drug,</w:t>
      </w:r>
    </w:p>
    <w:p>
      <w:pPr>
        <w:jc w:val="both"/>
      </w:pPr>
      <w:r>
        <w:t>and Cosmetic Act.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SECTION 11 — AVAILABILITY FOR FOLLOW-UP</w:t>
      </w:r>
    </w:p>
    <w:p>
      <w:pPr>
        <w:jc w:val="both"/>
      </w:pPr>
      <w:r>
        <w:t>================================================================</w:t>
      </w:r>
    </w:p>
    <w:p>
      <w:pPr>
        <w:jc w:val="both"/>
      </w:pPr>
      <w:r>
        <w:t>The reporting party served as Chief Operating Officer under a</w:t>
      </w:r>
    </w:p>
    <w:p>
      <w:pPr>
        <w:jc w:val="both"/>
      </w:pPr>
      <w:r>
        <w:t>verbal agreement during the period of employment described in</w:t>
      </w:r>
    </w:p>
    <w:p>
      <w:pPr>
        <w:jc w:val="both"/>
      </w:pPr>
      <w:r>
        <w:t>Section 1 and accordingly has direct firsthand knowledge of the</w:t>
      </w:r>
    </w:p>
    <w:p>
      <w:pPr>
        <w:jc w:val="both"/>
      </w:pPr>
      <w:r>
        <w:t>subject's manufacturing operations, production records,</w:t>
      </w:r>
    </w:p>
    <w:p>
      <w:pPr>
        <w:jc w:val="both"/>
      </w:pPr>
      <w:r>
        <w:t>labeling decisions, batch documentation, and supply-chain</w:t>
      </w:r>
    </w:p>
    <w:p>
      <w:pPr>
        <w:jc w:val="both"/>
      </w:pPr>
      <w:r>
        <w:t>practices.</w:t>
      </w:r>
    </w:p>
    <w:p>
      <w:pPr>
        <w:jc w:val="both"/>
      </w:pPr>
      <w:r>
        <w:t>The reporting party is available to:</w:t>
      </w:r>
    </w:p>
    <w:p>
      <w:pPr>
        <w:pStyle w:val="ListBullet"/>
      </w:pPr>
      <w:r>
        <w:t>Provide original documents to FDA OCI upon proper request</w:t>
      </w:r>
    </w:p>
    <w:p>
      <w:pPr>
        <w:pStyle w:val="ListBullet"/>
      </w:pPr>
      <w:r>
        <w:t>Testify regarding the conduct described above</w:t>
      </w:r>
    </w:p>
    <w:p>
      <w:pPr>
        <w:pStyle w:val="ListBullet"/>
      </w:pPr>
      <w:r>
        <w:t>Coordinate with state agencies investigating the same conduct</w:t>
      </w:r>
    </w:p>
    <w:p>
      <w:pPr>
        <w:pStyle w:val="ListBullet"/>
      </w:pPr>
      <w:r>
        <w:t>Submit to interview by FDA investigators at a secure location</w:t>
      </w:r>
    </w:p>
    <w:p>
      <w:pPr>
        <w:pStyle w:val="ListBullet"/>
      </w:pPr>
      <w:r>
        <w:t>Provide authentication and chain-of-custody documentation for</w:t>
      </w:r>
    </w:p>
    <w:p>
      <w:pPr>
        <w:jc w:val="both"/>
      </w:pPr>
      <w:r>
        <w:t xml:space="preserve">  all evidence referenced in this complaint</w:t>
      </w:r>
    </w:p>
    <w:p>
      <w:pPr>
        <w:jc w:val="both"/>
      </w:pPr>
      <w:r>
        <w:t>The reporting party respectfully requests that all FDA</w:t>
      </w:r>
    </w:p>
    <w:p>
      <w:pPr>
        <w:jc w:val="both"/>
      </w:pPr>
      <w:r>
        <w:t>correspondence regarding this complaint be conducted via the</w:t>
      </w:r>
    </w:p>
    <w:p>
      <w:pPr>
        <w:jc w:val="both"/>
      </w:pPr>
      <w:r>
        <w:t>secure email address listed below. The reporting party has</w:t>
      </w:r>
    </w:p>
    <w:p>
      <w:pPr>
        <w:jc w:val="both"/>
      </w:pPr>
      <w:r>
        <w:t>received death threats from the subject's family in retaliation</w:t>
      </w:r>
    </w:p>
    <w:p>
      <w:pPr>
        <w:jc w:val="both"/>
      </w:pPr>
      <w:r>
        <w:t>for filing this consumer complaint and prefers not to receive</w:t>
      </w:r>
    </w:p>
    <w:p>
      <w:pPr>
        <w:jc w:val="both"/>
      </w:pPr>
      <w:r>
        <w:t>telephone contact from a publicly-listed FDA number.</w:t>
      </w:r>
    </w:p>
    <w:p>
      <w:pPr>
        <w:jc w:val="both"/>
      </w:pPr>
      <w:r>
        <w:t>The reporting party also requests that FDA OCI keep this</w:t>
      </w:r>
    </w:p>
    <w:p>
      <w:pPr>
        <w:jc w:val="both"/>
      </w:pPr>
      <w:r>
        <w:t>complaint and the reporting party's identity confidential from</w:t>
      </w:r>
    </w:p>
    <w:p>
      <w:pPr>
        <w:jc w:val="both"/>
      </w:pPr>
      <w:r>
        <w:t>public disclosure to the maximum extent permitted by law, in</w:t>
      </w:r>
    </w:p>
    <w:p>
      <w:pPr>
        <w:jc w:val="both"/>
      </w:pPr>
      <w:r>
        <w:t>order to protect the reporting party from further retaliation.</w:t>
      </w:r>
    </w:p>
    <w:p>
      <w:pPr>
        <w:jc w:val="both"/>
      </w:pPr>
      <w:r>
        <w:t>Reporting Party: Anonymous former COO under verbal agreement</w:t>
      </w:r>
    </w:p>
    <w:p>
      <w:pPr>
        <w:jc w:val="both"/>
      </w:pPr>
      <w:r>
        <w:t>Email (secure, for FDA correspondence): fitnesslogicmn@gmail.com</w:t>
      </w:r>
    </w:p>
    <w:p>
      <w:pPr>
        <w:jc w:val="both"/>
      </w:pPr>
      <w:r>
        <w:t>Local reference: Blaine Police Department Case 2618-0471</w:t>
      </w:r>
    </w:p>
    <w:p>
      <w:pPr>
        <w:jc w:val="both"/>
      </w:pPr>
      <w:r>
        <w:t>Date of submission: 2026-08-02</w:t>
      </w:r>
    </w:p>
    <w:p>
      <w:pPr>
        <w:jc w:val="both"/>
      </w:pPr>
      <w:r>
        <w:t>End of FDA complaint.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